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FD22" w14:textId="776C3798" w:rsidR="004D2FD8" w:rsidRDefault="004D2FD8">
      <w:pPr>
        <w:pStyle w:val="Cmsor1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bookmarkEnd w:id="0"/>
    </w:p>
    <w:p w14:paraId="3A0A658C" w14:textId="5F444CB1" w:rsidR="00730552" w:rsidRPr="00B37456" w:rsidRDefault="00730552" w:rsidP="00730552">
      <w:pPr>
        <w:pStyle w:val="Lbjegyzetszveg"/>
        <w:rPr>
          <w:rFonts w:ascii="Times New Roman" w:hAnsi="Times New Roman"/>
          <w:sz w:val="22"/>
          <w:szCs w:val="22"/>
          <w:lang w:val="en-IE"/>
        </w:rPr>
      </w:pPr>
      <w:r w:rsidRPr="00B37456">
        <w:rPr>
          <w:rFonts w:ascii="Times New Roman" w:hAnsi="Times New Roman"/>
          <w:b/>
          <w:bCs/>
          <w:sz w:val="22"/>
          <w:szCs w:val="22"/>
          <w:lang w:val="en-IE"/>
        </w:rPr>
        <w:t>Nota Bene</w:t>
      </w:r>
      <w:r w:rsidRPr="00B37456">
        <w:rPr>
          <w:rFonts w:ascii="Times New Roman" w:hAnsi="Times New Roman"/>
          <w:sz w:val="22"/>
          <w:szCs w:val="22"/>
          <w:lang w:val="en-IE"/>
        </w:rPr>
        <w:t>:</w:t>
      </w:r>
      <w:r w:rsidR="00430F5F">
        <w:rPr>
          <w:rFonts w:ascii="Times New Roman" w:hAnsi="Times New Roman"/>
          <w:sz w:val="22"/>
          <w:szCs w:val="22"/>
          <w:lang w:val="en-IE"/>
        </w:rPr>
        <w:t xml:space="preserve"> All amounts are to be quoted included</w:t>
      </w:r>
      <w:r w:rsidRPr="00B37456">
        <w:rPr>
          <w:rFonts w:ascii="Times New Roman" w:hAnsi="Times New Roman"/>
          <w:sz w:val="22"/>
          <w:szCs w:val="22"/>
          <w:lang w:val="en-IE"/>
        </w:rPr>
        <w:t xml:space="preserve"> taxes. VAT, if applicable, is to be mentioned separately. Please refer to tender documents, notably the Instructions to tenderers, section 11 Content of tenders. </w:t>
      </w:r>
    </w:p>
    <w:p w14:paraId="6AD5D4D2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28526378" w14:textId="30B928BE" w:rsidR="004D2FD8" w:rsidRPr="00A273CA" w:rsidRDefault="00430F5F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HUSRB/23L/21/004/LP/01</w:t>
      </w:r>
      <w:r w:rsidR="004D2FD8" w:rsidRPr="00A273CA">
        <w:rPr>
          <w:rFonts w:ascii="Times New Roman" w:hAnsi="Times New Roman"/>
          <w:sz w:val="28"/>
          <w:szCs w:val="28"/>
          <w:lang w:val="en-GB"/>
        </w:rPr>
        <w:tab/>
      </w:r>
      <w:r w:rsidR="004D2FD8"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="004D2FD8"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"/>
        <w:gridCol w:w="199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14:paraId="69D11FDE" w14:textId="77777777" w:rsidTr="00B37456">
        <w:trPr>
          <w:gridBefore w:val="1"/>
          <w:wBefore w:w="158" w:type="dxa"/>
          <w:trHeight w:val="495"/>
          <w:jc w:val="center"/>
        </w:trPr>
        <w:tc>
          <w:tcPr>
            <w:tcW w:w="2148" w:type="dxa"/>
            <w:gridSpan w:val="2"/>
          </w:tcPr>
          <w:p w14:paraId="7BBEAAB6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5CA80A31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359BE03B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37F5F686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71FF4A45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2CF6987B" w14:textId="77777777" w:rsidTr="00B37456">
        <w:trPr>
          <w:gridBefore w:val="1"/>
          <w:wBefore w:w="158" w:type="dxa"/>
          <w:jc w:val="center"/>
        </w:trPr>
        <w:tc>
          <w:tcPr>
            <w:tcW w:w="2148" w:type="dxa"/>
            <w:gridSpan w:val="2"/>
          </w:tcPr>
          <w:p w14:paraId="16C06995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14:paraId="6E9F3C1D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6DD20D35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14:paraId="2E51A104" w14:textId="624E8238" w:rsidR="004D2FD8" w:rsidRPr="00430F5F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430F5F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DDP</w:t>
            </w:r>
          </w:p>
          <w:p w14:paraId="0C9AEC8D" w14:textId="14241921" w:rsidR="004D2FD8" w:rsidRPr="00430F5F" w:rsidRDefault="008249C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8249C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21233 Čenej, Međunarodni put 162a, and the other container set to 24340 Stara Moravica, Lajoša Košuta bb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, </w:t>
            </w:r>
            <w:r w:rsidRPr="008249C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Republic of Serbia</w:t>
            </w:r>
          </w:p>
          <w:p w14:paraId="2E718563" w14:textId="3EB0C2FC" w:rsidR="004D2FD8" w:rsidRPr="009A617B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highlight w:val="cyan"/>
                <w:lang w:val="en-GB"/>
              </w:rPr>
            </w:pPr>
            <w:r w:rsidRPr="0035460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</w:tc>
        <w:tc>
          <w:tcPr>
            <w:tcW w:w="2905" w:type="dxa"/>
            <w:gridSpan w:val="2"/>
          </w:tcPr>
          <w:p w14:paraId="5416E83A" w14:textId="77777777" w:rsidR="004D2FD8" w:rsidRPr="00430F5F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430F5F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0DD7DAEE" w14:textId="0B89DB20" w:rsidR="004D2FD8" w:rsidRPr="009A617B" w:rsidRDefault="004D2FD8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highlight w:val="cyan"/>
                <w:lang w:val="en-GB"/>
              </w:rPr>
            </w:pPr>
            <w:r w:rsidRPr="0035460D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  <w:r w:rsidRPr="009A617B">
              <w:rPr>
                <w:rFonts w:ascii="Times New Roman" w:hAnsi="Times New Roman"/>
                <w:b/>
                <w:smallCaps/>
                <w:sz w:val="24"/>
                <w:szCs w:val="24"/>
                <w:highlight w:val="cyan"/>
                <w:lang w:val="en-GB"/>
              </w:rPr>
              <w:br/>
            </w:r>
          </w:p>
        </w:tc>
      </w:tr>
      <w:tr w:rsidR="004D2FD8" w:rsidRPr="00471CC6" w14:paraId="3BC7A84B" w14:textId="77777777" w:rsidTr="00B37456">
        <w:trPr>
          <w:gridAfter w:val="1"/>
          <w:wAfter w:w="163" w:type="dxa"/>
          <w:trHeight w:val="484"/>
          <w:jc w:val="center"/>
        </w:trPr>
        <w:tc>
          <w:tcPr>
            <w:tcW w:w="2148" w:type="dxa"/>
            <w:gridSpan w:val="2"/>
          </w:tcPr>
          <w:p w14:paraId="0B446D1F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5B1AE7D8" w14:textId="6DE484A7" w:rsidR="004D2FD8" w:rsidRPr="00471CC6" w:rsidRDefault="00345BE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323D4267" w14:textId="50E67A8C" w:rsidR="009204A7" w:rsidRPr="00381200" w:rsidRDefault="004D2296">
            <w:pPr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381200">
              <w:rPr>
                <w:rFonts w:ascii="Times New Roman" w:hAnsi="Times New Roman"/>
                <w:b/>
                <w:bCs/>
                <w:sz w:val="22"/>
              </w:rPr>
              <w:t xml:space="preserve">Container set </w:t>
            </w:r>
          </w:p>
        </w:tc>
        <w:tc>
          <w:tcPr>
            <w:tcW w:w="3171" w:type="dxa"/>
            <w:gridSpan w:val="2"/>
          </w:tcPr>
          <w:p w14:paraId="732949B3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1FD418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3E3143C0" w14:textId="77777777" w:rsidTr="00B37456">
        <w:trPr>
          <w:gridAfter w:val="1"/>
          <w:wAfter w:w="163" w:type="dxa"/>
          <w:trHeight w:val="548"/>
          <w:jc w:val="center"/>
        </w:trPr>
        <w:tc>
          <w:tcPr>
            <w:tcW w:w="2148" w:type="dxa"/>
            <w:gridSpan w:val="2"/>
          </w:tcPr>
          <w:p w14:paraId="75900D53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14:paraId="325C1F51" w14:textId="52458120" w:rsidR="004D2FD8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132A2B23" w14:textId="524E93EA" w:rsidR="004D2FD8" w:rsidRPr="00381200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</w:rPr>
              <w:t>Cooling- heating system</w:t>
            </w:r>
            <w:bookmarkStart w:id="1" w:name="_GoBack"/>
            <w:bookmarkEnd w:id="1"/>
          </w:p>
        </w:tc>
        <w:tc>
          <w:tcPr>
            <w:tcW w:w="3171" w:type="dxa"/>
            <w:gridSpan w:val="2"/>
          </w:tcPr>
          <w:p w14:paraId="53C5A6D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609E911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4375" w:rsidRPr="00471CC6" w14:paraId="5396832D" w14:textId="77777777" w:rsidTr="00B37456">
        <w:trPr>
          <w:gridAfter w:val="1"/>
          <w:wAfter w:w="163" w:type="dxa"/>
          <w:trHeight w:val="548"/>
          <w:jc w:val="center"/>
        </w:trPr>
        <w:tc>
          <w:tcPr>
            <w:tcW w:w="2148" w:type="dxa"/>
            <w:gridSpan w:val="2"/>
          </w:tcPr>
          <w:p w14:paraId="5A953242" w14:textId="525A2106" w:rsidR="004D4375" w:rsidRPr="00471CC6" w:rsidRDefault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542" w:type="dxa"/>
            <w:gridSpan w:val="2"/>
          </w:tcPr>
          <w:p w14:paraId="28B5EFE9" w14:textId="5BD9B263" w:rsidR="004D4375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66C180A1" w14:textId="5DBEAD35" w:rsidR="004D4375" w:rsidRPr="00381200" w:rsidRDefault="004D2296" w:rsidP="0041249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</w:rPr>
              <w:t>Electronic devices set</w:t>
            </w:r>
          </w:p>
        </w:tc>
        <w:tc>
          <w:tcPr>
            <w:tcW w:w="3171" w:type="dxa"/>
            <w:gridSpan w:val="2"/>
          </w:tcPr>
          <w:p w14:paraId="2870892A" w14:textId="77777777" w:rsidR="004D4375" w:rsidRPr="00471CC6" w:rsidRDefault="004D43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04AE096" w14:textId="77777777" w:rsidR="004D4375" w:rsidRPr="00471CC6" w:rsidRDefault="004D43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3C7576D9" w14:textId="77777777" w:rsidTr="00B37456">
        <w:trPr>
          <w:gridAfter w:val="1"/>
          <w:wAfter w:w="163" w:type="dxa"/>
          <w:trHeight w:val="402"/>
          <w:jc w:val="center"/>
        </w:trPr>
        <w:tc>
          <w:tcPr>
            <w:tcW w:w="2148" w:type="dxa"/>
            <w:gridSpan w:val="2"/>
          </w:tcPr>
          <w:p w14:paraId="64B9ABA9" w14:textId="55B20A91" w:rsidR="003308C6" w:rsidRPr="00471CC6" w:rsidRDefault="004D229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4</w:t>
            </w:r>
          </w:p>
        </w:tc>
        <w:tc>
          <w:tcPr>
            <w:tcW w:w="1542" w:type="dxa"/>
            <w:gridSpan w:val="2"/>
          </w:tcPr>
          <w:p w14:paraId="41FB4D48" w14:textId="144BA48E" w:rsidR="003308C6" w:rsidRPr="00471CC6" w:rsidRDefault="004D2296" w:rsidP="004D2296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60D0A9A8" w14:textId="1666BE5D" w:rsidR="003308C6" w:rsidRPr="00381200" w:rsidRDefault="004D2296" w:rsidP="00430F5F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  <w:lang w:val="en-GB"/>
              </w:rPr>
              <w:t>Video conference system</w:t>
            </w:r>
          </w:p>
        </w:tc>
        <w:tc>
          <w:tcPr>
            <w:tcW w:w="3171" w:type="dxa"/>
            <w:gridSpan w:val="2"/>
          </w:tcPr>
          <w:p w14:paraId="40097E74" w14:textId="1272A3F9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4744FB9C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3C520DEE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015D413F" w14:textId="0E91F897" w:rsidR="004D2FD8" w:rsidRPr="00471CC6" w:rsidRDefault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5</w:t>
            </w:r>
          </w:p>
        </w:tc>
        <w:tc>
          <w:tcPr>
            <w:tcW w:w="1542" w:type="dxa"/>
            <w:gridSpan w:val="2"/>
          </w:tcPr>
          <w:p w14:paraId="719CBC44" w14:textId="181C6876" w:rsidR="004D2FD8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34</w:t>
            </w:r>
          </w:p>
        </w:tc>
        <w:tc>
          <w:tcPr>
            <w:tcW w:w="3278" w:type="dxa"/>
            <w:gridSpan w:val="2"/>
          </w:tcPr>
          <w:p w14:paraId="626A08B6" w14:textId="00DA6D93" w:rsidR="00837253" w:rsidRPr="00381200" w:rsidRDefault="004D2296" w:rsidP="0083725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  <w:lang w:val="en-GB"/>
              </w:rPr>
              <w:t>Computers</w:t>
            </w:r>
          </w:p>
        </w:tc>
        <w:tc>
          <w:tcPr>
            <w:tcW w:w="3171" w:type="dxa"/>
            <w:gridSpan w:val="2"/>
          </w:tcPr>
          <w:p w14:paraId="746FBDB0" w14:textId="38079335"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7DCCFEA5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296" w:rsidRPr="00471CC6" w14:paraId="62BD761E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57E0F35A" w14:textId="39F19BB9" w:rsidR="004D2296" w:rsidRDefault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lastRenderedPageBreak/>
              <w:t>6</w:t>
            </w:r>
          </w:p>
        </w:tc>
        <w:tc>
          <w:tcPr>
            <w:tcW w:w="1542" w:type="dxa"/>
            <w:gridSpan w:val="2"/>
          </w:tcPr>
          <w:p w14:paraId="6BE4B91B" w14:textId="5C6321F7" w:rsidR="004D2296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409E32DA" w14:textId="4BBE4213" w:rsidR="004D2296" w:rsidRPr="00381200" w:rsidRDefault="004D2296" w:rsidP="0083725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  <w:lang w:val="en-GB"/>
              </w:rPr>
              <w:t>Furniture set</w:t>
            </w:r>
          </w:p>
        </w:tc>
        <w:tc>
          <w:tcPr>
            <w:tcW w:w="3171" w:type="dxa"/>
            <w:gridSpan w:val="2"/>
          </w:tcPr>
          <w:p w14:paraId="10119A5B" w14:textId="77777777" w:rsidR="004D2296" w:rsidRPr="00471CC6" w:rsidRDefault="004D2296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E5B61A3" w14:textId="77777777" w:rsidR="004D2296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296" w:rsidRPr="00471CC6" w14:paraId="68FF54B9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0C197EF1" w14:textId="17BB8C54" w:rsidR="004D2296" w:rsidRDefault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7</w:t>
            </w:r>
          </w:p>
        </w:tc>
        <w:tc>
          <w:tcPr>
            <w:tcW w:w="1542" w:type="dxa"/>
            <w:gridSpan w:val="2"/>
          </w:tcPr>
          <w:p w14:paraId="4927A44A" w14:textId="262EAF76" w:rsidR="004D2296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10D68254" w14:textId="3D5CEACD" w:rsidR="004D2296" w:rsidRPr="00381200" w:rsidRDefault="004D2296" w:rsidP="0083725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  <w:lang w:val="en-GB"/>
              </w:rPr>
              <w:t>Educational technology equipment set</w:t>
            </w:r>
          </w:p>
        </w:tc>
        <w:tc>
          <w:tcPr>
            <w:tcW w:w="3171" w:type="dxa"/>
            <w:gridSpan w:val="2"/>
          </w:tcPr>
          <w:p w14:paraId="10528305" w14:textId="77777777" w:rsidR="004D2296" w:rsidRPr="00471CC6" w:rsidRDefault="004D2296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48791AA0" w14:textId="77777777" w:rsidR="004D2296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296" w:rsidRPr="00471CC6" w14:paraId="0619D366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40624E2D" w14:textId="4040B762" w:rsidR="004D2296" w:rsidRDefault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8</w:t>
            </w:r>
          </w:p>
        </w:tc>
        <w:tc>
          <w:tcPr>
            <w:tcW w:w="1542" w:type="dxa"/>
            <w:gridSpan w:val="2"/>
          </w:tcPr>
          <w:p w14:paraId="165DF6CE" w14:textId="5B466252" w:rsidR="004D2296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2DD20A3D" w14:textId="6974515B" w:rsidR="004D2296" w:rsidRPr="00381200" w:rsidRDefault="004D2296" w:rsidP="0083725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381200">
              <w:rPr>
                <w:rFonts w:ascii="Times New Roman" w:hAnsi="Times New Roman"/>
                <w:b/>
                <w:sz w:val="22"/>
                <w:lang w:val="en-GB"/>
              </w:rPr>
              <w:t>Solar system</w:t>
            </w:r>
          </w:p>
        </w:tc>
        <w:tc>
          <w:tcPr>
            <w:tcW w:w="3171" w:type="dxa"/>
            <w:gridSpan w:val="2"/>
          </w:tcPr>
          <w:p w14:paraId="6DDF91FC" w14:textId="77777777" w:rsidR="004D2296" w:rsidRPr="00471CC6" w:rsidRDefault="004D2296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34F069DB" w14:textId="77777777" w:rsidR="004D2296" w:rsidRPr="00471CC6" w:rsidRDefault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296" w:rsidRPr="00471CC6" w14:paraId="1E4A3DBC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659A4B88" w14:textId="77777777" w:rsidR="004D2296" w:rsidRDefault="004D2296" w:rsidP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6B509225" w14:textId="77777777" w:rsidR="004D2296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0D038B4F" w14:textId="0BE8749C" w:rsidR="004D2296" w:rsidRPr="004D2296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Other services</w:t>
            </w:r>
            <w:r>
              <w:rPr>
                <w:rFonts w:ascii="Times New Roman" w:hAnsi="Times New Roman"/>
                <w:sz w:val="22"/>
                <w:szCs w:val="22"/>
                <w:highlight w:val="lightGray"/>
                <w:lang w:val="en-GB"/>
              </w:rPr>
              <w:t xml:space="preserve"> and any other costs not directly related to the intrinsic value of the products</w:t>
            </w:r>
            <w:r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5C03FE89" w14:textId="6FCE4B2D" w:rsidR="004D2296" w:rsidRPr="00471CC6" w:rsidRDefault="004D2296" w:rsidP="004D2296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2048A763" w14:textId="77777777" w:rsidR="004D2296" w:rsidRPr="00471CC6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296" w:rsidRPr="00471CC6" w14:paraId="7397C788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02A7E166" w14:textId="77777777" w:rsidR="004D2296" w:rsidRDefault="004D2296" w:rsidP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7D7EBDDF" w14:textId="77777777" w:rsidR="004D2296" w:rsidRPr="00471CC6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69CB2BC1" w14:textId="77777777" w:rsidR="004D2296" w:rsidRPr="00E70992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 w:rsidRPr="00E70992">
              <w:rPr>
                <w:rFonts w:ascii="Times New Roman" w:hAnsi="Times New Roman"/>
                <w:sz w:val="22"/>
                <w:lang w:val="en-GB"/>
              </w:rPr>
              <w:t>In gross amount price</w:t>
            </w:r>
          </w:p>
          <w:p w14:paraId="02472095" w14:textId="325A6D6C" w:rsidR="004D2296" w:rsidRPr="00471CC6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70992">
              <w:rPr>
                <w:rFonts w:ascii="Times New Roman" w:hAnsi="Times New Roman"/>
                <w:sz w:val="22"/>
                <w:lang w:val="en-GB"/>
              </w:rPr>
              <w:t>(Net + Vat)</w:t>
            </w:r>
          </w:p>
        </w:tc>
        <w:tc>
          <w:tcPr>
            <w:tcW w:w="3171" w:type="dxa"/>
            <w:gridSpan w:val="2"/>
          </w:tcPr>
          <w:p w14:paraId="7DB9B563" w14:textId="522487B3" w:rsidR="004D2296" w:rsidRPr="00471CC6" w:rsidRDefault="004D2296" w:rsidP="004D2296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14:paraId="58709F30" w14:textId="77777777" w:rsidR="004D2296" w:rsidRPr="00471CC6" w:rsidRDefault="004D2296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36B2F" w:rsidRPr="00471CC6" w14:paraId="61ED7A27" w14:textId="77777777" w:rsidTr="00B37456">
        <w:trPr>
          <w:gridAfter w:val="1"/>
          <w:wAfter w:w="163" w:type="dxa"/>
          <w:trHeight w:val="1119"/>
          <w:jc w:val="center"/>
        </w:trPr>
        <w:tc>
          <w:tcPr>
            <w:tcW w:w="2148" w:type="dxa"/>
            <w:gridSpan w:val="2"/>
          </w:tcPr>
          <w:p w14:paraId="1245EF75" w14:textId="77777777" w:rsidR="00D36B2F" w:rsidRDefault="00D36B2F" w:rsidP="004D229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200009D0" w14:textId="77777777" w:rsidR="00D36B2F" w:rsidRPr="00471CC6" w:rsidRDefault="00D36B2F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C852DC8" w14:textId="77777777" w:rsidR="00D36B2F" w:rsidRPr="00471CC6" w:rsidRDefault="00D36B2F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5C3A147E" w14:textId="77777777" w:rsidR="00D36B2F" w:rsidRPr="00A273CA" w:rsidRDefault="00D36B2F" w:rsidP="004D2296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3B310083" w14:textId="77777777" w:rsidR="00D36B2F" w:rsidRPr="00471CC6" w:rsidRDefault="00D36B2F" w:rsidP="004D229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32ED4565" w14:textId="0024328D" w:rsidR="004D2FD8" w:rsidRPr="00730552" w:rsidRDefault="004D2FD8" w:rsidP="00094A6A">
      <w:pPr>
        <w:pStyle w:val="Cmsor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730552" w:rsidSect="00B37456">
      <w:footerReference w:type="default" r:id="rId8"/>
      <w:footerReference w:type="first" r:id="rId9"/>
      <w:type w:val="oddPage"/>
      <w:pgSz w:w="16840" w:h="11907" w:orient="landscape" w:code="9"/>
      <w:pgMar w:top="567" w:right="1134" w:bottom="127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8587A" w14:textId="77777777" w:rsidR="00212999" w:rsidRDefault="00212999">
      <w:r>
        <w:separator/>
      </w:r>
    </w:p>
  </w:endnote>
  <w:endnote w:type="continuationSeparator" w:id="0">
    <w:p w14:paraId="6CE19828" w14:textId="77777777" w:rsidR="00212999" w:rsidRDefault="002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3422" w14:textId="065A5731" w:rsidR="00E07ABE" w:rsidRPr="004947CB" w:rsidRDefault="00C13175" w:rsidP="00E07ABE">
    <w:pPr>
      <w:pStyle w:val="llb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673AD6">
      <w:rPr>
        <w:rFonts w:ascii="Times New Roman" w:hAnsi="Times New Roman"/>
        <w:b/>
        <w:sz w:val="18"/>
        <w:lang w:val="en-GB"/>
      </w:rPr>
      <w:t>5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381200">
      <w:rPr>
        <w:rFonts w:ascii="Times New Roman" w:hAnsi="Times New Roman"/>
        <w:noProof/>
        <w:sz w:val="18"/>
        <w:szCs w:val="18"/>
        <w:lang w:val="en-GB"/>
      </w:rPr>
      <w:t>1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381200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1C47C51C" w14:textId="5520C1E2" w:rsidR="00E811F3" w:rsidRPr="003C52C0" w:rsidRDefault="00385709" w:rsidP="00385709">
    <w:pPr>
      <w:pStyle w:val="llb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673AD6">
      <w:rPr>
        <w:rFonts w:ascii="Times New Roman" w:hAnsi="Times New Roman"/>
        <w:noProof/>
        <w:sz w:val="18"/>
        <w:szCs w:val="18"/>
      </w:rPr>
      <w:t>c4g_annex_iv_finoffer_en.docx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81392" w14:textId="77777777" w:rsidR="00FA735A" w:rsidRDefault="00FA735A" w:rsidP="00FA735A">
    <w:pPr>
      <w:pStyle w:val="lfej"/>
      <w:rPr>
        <w:rFonts w:ascii="Times New Roman" w:hAnsi="Times New Roman"/>
        <w:snapToGrid/>
        <w:lang w:val="fr-FR" w:eastAsia="en-GB"/>
      </w:rPr>
    </w:pPr>
  </w:p>
  <w:p w14:paraId="5863A5B3" w14:textId="77777777" w:rsidR="00FA735A" w:rsidRDefault="00FA735A" w:rsidP="00FA735A"/>
  <w:p w14:paraId="01D89FD2" w14:textId="77777777" w:rsidR="00FA735A" w:rsidRDefault="00FA735A" w:rsidP="00FA735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7BDA">
      <w:rPr>
        <w:rStyle w:val="Oldalszm"/>
        <w:noProof/>
      </w:rPr>
      <w:t>1</w:t>
    </w:r>
    <w:r>
      <w:rPr>
        <w:rStyle w:val="Oldalszm"/>
      </w:rPr>
      <w:fldChar w:fldCharType="end"/>
    </w:r>
  </w:p>
  <w:p w14:paraId="6E77DBF5" w14:textId="77777777" w:rsidR="00FA735A" w:rsidRDefault="00FA735A" w:rsidP="00FA735A">
    <w:pPr>
      <w:pStyle w:val="llb"/>
      <w:ind w:right="360"/>
    </w:pPr>
  </w:p>
  <w:p w14:paraId="073E2758" w14:textId="77777777" w:rsidR="00FA735A" w:rsidRDefault="00FA735A" w:rsidP="00FA735A"/>
  <w:p w14:paraId="7677FD35" w14:textId="77777777" w:rsidR="007E2185" w:rsidRPr="00345D88" w:rsidRDefault="00FA735A" w:rsidP="00FA735A">
    <w:pPr>
      <w:pStyle w:val="llb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439DAD4" w14:textId="77777777" w:rsidR="004A2F1C" w:rsidRPr="003C52C0" w:rsidRDefault="00E07ABE" w:rsidP="00505C5D">
    <w:pPr>
      <w:pStyle w:val="llb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30D72" w14:textId="77777777" w:rsidR="00212999" w:rsidRDefault="00212999">
      <w:r>
        <w:separator/>
      </w:r>
    </w:p>
  </w:footnote>
  <w:footnote w:type="continuationSeparator" w:id="0">
    <w:p w14:paraId="530C8069" w14:textId="77777777" w:rsidR="00212999" w:rsidRDefault="0021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Cmsor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31D3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2527"/>
    <w:rsid w:val="001B3D0E"/>
    <w:rsid w:val="001B5454"/>
    <w:rsid w:val="001D0532"/>
    <w:rsid w:val="001E1AC2"/>
    <w:rsid w:val="001E4648"/>
    <w:rsid w:val="001F5421"/>
    <w:rsid w:val="002068CA"/>
    <w:rsid w:val="00211E0F"/>
    <w:rsid w:val="00212999"/>
    <w:rsid w:val="00215337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0B88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BE7"/>
    <w:rsid w:val="00345D88"/>
    <w:rsid w:val="00347B7E"/>
    <w:rsid w:val="003502E9"/>
    <w:rsid w:val="00351351"/>
    <w:rsid w:val="0035460D"/>
    <w:rsid w:val="00360344"/>
    <w:rsid w:val="003613D2"/>
    <w:rsid w:val="00371851"/>
    <w:rsid w:val="00371F01"/>
    <w:rsid w:val="003721AD"/>
    <w:rsid w:val="00381200"/>
    <w:rsid w:val="00384BAB"/>
    <w:rsid w:val="00385709"/>
    <w:rsid w:val="00386254"/>
    <w:rsid w:val="00387C56"/>
    <w:rsid w:val="00390E39"/>
    <w:rsid w:val="003A34BC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12499"/>
    <w:rsid w:val="0041609F"/>
    <w:rsid w:val="00420666"/>
    <w:rsid w:val="004300D4"/>
    <w:rsid w:val="00430F5F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296"/>
    <w:rsid w:val="004D2FD8"/>
    <w:rsid w:val="004D4375"/>
    <w:rsid w:val="004E252F"/>
    <w:rsid w:val="004F3C44"/>
    <w:rsid w:val="004F5C57"/>
    <w:rsid w:val="00501FF0"/>
    <w:rsid w:val="00505C5D"/>
    <w:rsid w:val="005226B4"/>
    <w:rsid w:val="00534046"/>
    <w:rsid w:val="00535826"/>
    <w:rsid w:val="00536B4A"/>
    <w:rsid w:val="00542930"/>
    <w:rsid w:val="00550875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17437"/>
    <w:rsid w:val="006311FE"/>
    <w:rsid w:val="00633829"/>
    <w:rsid w:val="006408AC"/>
    <w:rsid w:val="0066519D"/>
    <w:rsid w:val="0067240B"/>
    <w:rsid w:val="00673AD6"/>
    <w:rsid w:val="006772F6"/>
    <w:rsid w:val="00677500"/>
    <w:rsid w:val="0068247E"/>
    <w:rsid w:val="006917B2"/>
    <w:rsid w:val="006B0AB1"/>
    <w:rsid w:val="006B791A"/>
    <w:rsid w:val="006C2F05"/>
    <w:rsid w:val="006D3DD7"/>
    <w:rsid w:val="006E56FD"/>
    <w:rsid w:val="006E6880"/>
    <w:rsid w:val="00702C8A"/>
    <w:rsid w:val="007041DE"/>
    <w:rsid w:val="00711C72"/>
    <w:rsid w:val="00721854"/>
    <w:rsid w:val="00721FAD"/>
    <w:rsid w:val="00730552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F3F4A"/>
    <w:rsid w:val="00806CE0"/>
    <w:rsid w:val="00811F58"/>
    <w:rsid w:val="008249CD"/>
    <w:rsid w:val="00837253"/>
    <w:rsid w:val="00853F9D"/>
    <w:rsid w:val="0085667F"/>
    <w:rsid w:val="008617F3"/>
    <w:rsid w:val="008808CB"/>
    <w:rsid w:val="008859E6"/>
    <w:rsid w:val="00887A00"/>
    <w:rsid w:val="008A39B7"/>
    <w:rsid w:val="008B6529"/>
    <w:rsid w:val="008E40E2"/>
    <w:rsid w:val="008E7E35"/>
    <w:rsid w:val="008F297A"/>
    <w:rsid w:val="008F5A3A"/>
    <w:rsid w:val="008F6DA7"/>
    <w:rsid w:val="00900823"/>
    <w:rsid w:val="009204A7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617B"/>
    <w:rsid w:val="009A765C"/>
    <w:rsid w:val="009B0CF1"/>
    <w:rsid w:val="009B2F1F"/>
    <w:rsid w:val="009B422E"/>
    <w:rsid w:val="009B4D6F"/>
    <w:rsid w:val="009C0E86"/>
    <w:rsid w:val="009D2938"/>
    <w:rsid w:val="009E2FE9"/>
    <w:rsid w:val="009E6BB7"/>
    <w:rsid w:val="009F07BE"/>
    <w:rsid w:val="009F09A5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1146"/>
    <w:rsid w:val="00AD525A"/>
    <w:rsid w:val="00AE6600"/>
    <w:rsid w:val="00AE7D13"/>
    <w:rsid w:val="00AF4052"/>
    <w:rsid w:val="00B0279B"/>
    <w:rsid w:val="00B07102"/>
    <w:rsid w:val="00B1165D"/>
    <w:rsid w:val="00B20FC8"/>
    <w:rsid w:val="00B277E4"/>
    <w:rsid w:val="00B27BDA"/>
    <w:rsid w:val="00B3168E"/>
    <w:rsid w:val="00B37456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2B5A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B2F"/>
    <w:rsid w:val="00D43612"/>
    <w:rsid w:val="00D52CBF"/>
    <w:rsid w:val="00D5595E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C7EB2"/>
    <w:rsid w:val="00DD0624"/>
    <w:rsid w:val="00DF7327"/>
    <w:rsid w:val="00E005FA"/>
    <w:rsid w:val="00E07ABE"/>
    <w:rsid w:val="00E13CDE"/>
    <w:rsid w:val="00E2190B"/>
    <w:rsid w:val="00E2682A"/>
    <w:rsid w:val="00E27613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28B5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D78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lang w:val="fr-BE"/>
    </w:rPr>
  </w:style>
  <w:style w:type="paragraph" w:styleId="Cmsor3">
    <w:name w:val="heading 3"/>
    <w:basedOn w:val="Norml"/>
    <w:next w:val="Norm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  <w:lang w:val="fr-BE"/>
    </w:rPr>
  </w:style>
  <w:style w:type="paragraph" w:styleId="Alcm">
    <w:name w:val="Subtitle"/>
    <w:basedOn w:val="Norml"/>
    <w:qFormat/>
    <w:pPr>
      <w:jc w:val="center"/>
    </w:pPr>
    <w:rPr>
      <w:b/>
      <w:sz w:val="28"/>
      <w:lang w:val="fr-BE"/>
    </w:rPr>
  </w:style>
  <w:style w:type="paragraph" w:styleId="Szvegtrzsbehzssal">
    <w:name w:val="Body Text Indent"/>
    <w:basedOn w:val="Norm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Szvegtrzs">
    <w:name w:val="Body Text"/>
    <w:basedOn w:val="Norml"/>
  </w:style>
  <w:style w:type="paragraph" w:styleId="Szvegtrzsbehzssal2">
    <w:name w:val="Body Text Indent 2"/>
    <w:basedOn w:val="Norm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Szvegtrzsbehzssal3">
    <w:name w:val="Body Text Indent 3"/>
    <w:basedOn w:val="Norm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fej">
    <w:name w:val="header"/>
    <w:basedOn w:val="Norml"/>
    <w:link w:val="lfejChar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iperhivatkozs">
    <w:name w:val="Hyperlink"/>
    <w:rPr>
      <w:color w:val="0000FF"/>
      <w:u w:val="single"/>
    </w:rPr>
  </w:style>
  <w:style w:type="paragraph" w:styleId="Lbjegyzetszveg">
    <w:name w:val="footnote text"/>
    <w:basedOn w:val="Norml"/>
    <w:semiHidden/>
    <w:rPr>
      <w:lang w:val="fr-FR"/>
    </w:rPr>
  </w:style>
  <w:style w:type="character" w:styleId="Lbjegyzet-hivatkozs">
    <w:name w:val="footnote reference"/>
    <w:semiHidden/>
    <w:rPr>
      <w:vertAlign w:val="superscript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Cmsor1"/>
    <w:next w:val="Norm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J1">
    <w:name w:val="toc 1"/>
    <w:basedOn w:val="Norml"/>
    <w:next w:val="Norm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J2">
    <w:name w:val="toc 2"/>
    <w:basedOn w:val="Norml"/>
    <w:next w:val="Norm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Kiemels2">
    <w:name w:val="Strong"/>
    <w:qFormat/>
    <w:rPr>
      <w:b/>
    </w:rPr>
  </w:style>
  <w:style w:type="paragraph" w:customStyle="1" w:styleId="Blockquote">
    <w:name w:val="Blockquote"/>
    <w:basedOn w:val="Norm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J3">
    <w:name w:val="toc 3"/>
    <w:basedOn w:val="Norml"/>
    <w:next w:val="Norm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J4">
    <w:name w:val="toc 4"/>
    <w:basedOn w:val="Norml"/>
    <w:next w:val="Norm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J5">
    <w:name w:val="toc 5"/>
    <w:basedOn w:val="Norml"/>
    <w:next w:val="Norm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J6">
    <w:name w:val="toc 6"/>
    <w:basedOn w:val="Norml"/>
    <w:next w:val="Norm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J7">
    <w:name w:val="toc 7"/>
    <w:basedOn w:val="Norml"/>
    <w:next w:val="Norm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J8">
    <w:name w:val="toc 8"/>
    <w:basedOn w:val="Norml"/>
    <w:next w:val="Norm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J9">
    <w:name w:val="toc 9"/>
    <w:basedOn w:val="Norml"/>
    <w:next w:val="Norm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l"/>
    <w:next w:val="Norm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Rcsostblzat">
    <w:name w:val="Table Grid"/>
    <w:basedOn w:val="Normltblzat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uborkszveg">
    <w:name w:val="Balloon Text"/>
    <w:basedOn w:val="Norml"/>
    <w:semiHidden/>
    <w:rsid w:val="004A2F1C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5D5DF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D5DFB"/>
  </w:style>
  <w:style w:type="character" w:customStyle="1" w:styleId="JegyzetszvegChar">
    <w:name w:val="Jegyzetszöveg Char"/>
    <w:link w:val="Jegyzetszveg"/>
    <w:rsid w:val="005D5DFB"/>
    <w:rPr>
      <w:rFonts w:ascii="Arial" w:hAnsi="Arial"/>
      <w:snapToGrid w:val="0"/>
      <w:lang w:val="sv-SE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5D5DFB"/>
    <w:rPr>
      <w:b/>
      <w:bCs/>
    </w:rPr>
  </w:style>
  <w:style w:type="character" w:customStyle="1" w:styleId="MegjegyzstrgyaChar">
    <w:name w:val="Megjegyzés tárgya Char"/>
    <w:link w:val="Megjegyzstrgya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lfejChar">
    <w:name w:val="Élőfej Char"/>
    <w:link w:val="lfej"/>
    <w:rsid w:val="00FA735A"/>
    <w:rPr>
      <w:rFonts w:ascii="Arial" w:hAnsi="Arial"/>
      <w:snapToGrid w:val="0"/>
      <w:lang w:val="sv-SE" w:eastAsia="en-US"/>
    </w:rPr>
  </w:style>
  <w:style w:type="character" w:customStyle="1" w:styleId="llbChar">
    <w:name w:val="Élőláb Char"/>
    <w:link w:val="llb"/>
    <w:rsid w:val="00FA735A"/>
    <w:rPr>
      <w:rFonts w:ascii="Arial" w:hAnsi="Arial"/>
      <w:snapToGrid w:val="0"/>
      <w:lang w:val="sv-SE" w:eastAsia="en-US"/>
    </w:rPr>
  </w:style>
  <w:style w:type="paragraph" w:styleId="Vltozat">
    <w:name w:val="Revision"/>
    <w:hidden/>
    <w:uiPriority w:val="99"/>
    <w:semiHidden/>
    <w:rsid w:val="00C42B5A"/>
    <w:rPr>
      <w:rFonts w:ascii="Arial" w:hAnsi="Arial"/>
      <w:snapToGrid w:val="0"/>
      <w:lang w:val="sv-SE"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8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12DC-E5F1-46CC-B272-6A7E68E7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123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973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33</cp:revision>
  <cp:lastPrinted>2015-12-03T09:09:00Z</cp:lastPrinted>
  <dcterms:created xsi:type="dcterms:W3CDTF">2024-06-17T14:13:00Z</dcterms:created>
  <dcterms:modified xsi:type="dcterms:W3CDTF">2026-04-17T09:26:00Z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2023-06-16T13:37:15Z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5a4cdd65-8dd9-4398-becb-0e2b208d5d2a</vt:lpwstr>
  </property>
  <property fmtid="{D5CDD505-2E9C-101B-9397-08002B2CF9AE}" pid="8" name="MSIP_Label_6bd9ddd1-4d20-43f6-abfa-fc3c07406f94_ContentBits">
    <vt:lpwstr>0</vt:lpwstr>
  </property>
</Properties>
</file>