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407E" w14:textId="53186751" w:rsidR="006F5FD0" w:rsidRPr="00B33EE6" w:rsidRDefault="006F5FD0" w:rsidP="00347E84">
      <w:pPr>
        <w:jc w:val="center"/>
        <w:rPr>
          <w:rStyle w:val="Kiemels2"/>
          <w:sz w:val="28"/>
          <w:szCs w:val="28"/>
          <w:lang w:val="en-GB"/>
        </w:rPr>
      </w:pPr>
      <w:r w:rsidRPr="00B33EE6">
        <w:rPr>
          <w:b/>
          <w:sz w:val="28"/>
          <w:szCs w:val="28"/>
          <w:lang w:val="en-GB"/>
        </w:rPr>
        <w:t>S</w:t>
      </w:r>
      <w:r w:rsidR="00DE3C11">
        <w:rPr>
          <w:b/>
          <w:sz w:val="28"/>
          <w:szCs w:val="28"/>
          <w:lang w:val="en-GB"/>
        </w:rPr>
        <w:t>UPPLY</w:t>
      </w:r>
      <w:r w:rsidRPr="00B33EE6">
        <w:rPr>
          <w:b/>
          <w:sz w:val="28"/>
          <w:szCs w:val="28"/>
          <w:lang w:val="en-GB"/>
        </w:rPr>
        <w:t xml:space="preserve"> </w:t>
      </w:r>
      <w:r w:rsidR="00FA17FC" w:rsidRPr="00B33EE6">
        <w:rPr>
          <w:b/>
          <w:sz w:val="28"/>
          <w:szCs w:val="28"/>
          <w:lang w:val="en-GB"/>
        </w:rPr>
        <w:t xml:space="preserve">CONTRACT </w:t>
      </w:r>
      <w:r w:rsidRPr="00B33EE6">
        <w:rPr>
          <w:b/>
          <w:sz w:val="28"/>
          <w:szCs w:val="28"/>
          <w:lang w:val="en-GB"/>
        </w:rPr>
        <w:t>NOTICE</w:t>
      </w:r>
    </w:p>
    <w:p w14:paraId="3363FF0F" w14:textId="6A06D795" w:rsidR="006F5FD0" w:rsidRPr="00B33EE6" w:rsidRDefault="00786464" w:rsidP="00347E84">
      <w:pPr>
        <w:jc w:val="center"/>
        <w:rPr>
          <w:sz w:val="28"/>
          <w:szCs w:val="28"/>
          <w:lang w:val="en-GB"/>
        </w:rPr>
      </w:pPr>
      <w:r>
        <w:rPr>
          <w:rStyle w:val="Kiemels2"/>
          <w:sz w:val="28"/>
          <w:szCs w:val="28"/>
          <w:lang w:val="en-GB"/>
        </w:rPr>
        <w:t>Procurement of container class</w:t>
      </w:r>
      <w:r w:rsidR="008B05E5" w:rsidRPr="00F94A14">
        <w:rPr>
          <w:rStyle w:val="Kiemels2"/>
          <w:sz w:val="28"/>
          <w:szCs w:val="28"/>
          <w:lang w:val="en-GB"/>
        </w:rPr>
        <w:t>rooms</w:t>
      </w:r>
      <w:r w:rsidR="006F5FD0" w:rsidRPr="00F94A14">
        <w:rPr>
          <w:rStyle w:val="Kiemels2"/>
          <w:sz w:val="28"/>
          <w:szCs w:val="28"/>
          <w:lang w:val="en-GB"/>
        </w:rPr>
        <w:br/>
      </w:r>
      <w:r w:rsidR="008B05E5" w:rsidRPr="00F94A14">
        <w:rPr>
          <w:rStyle w:val="Kiemels2"/>
          <w:b w:val="0"/>
          <w:bCs/>
          <w:sz w:val="28"/>
          <w:szCs w:val="28"/>
          <w:lang w:val="en-GB"/>
        </w:rPr>
        <w:t>Vojvodina, Republic of Serbia</w:t>
      </w:r>
    </w:p>
    <w:p w14:paraId="1BE20B1E" w14:textId="77777777" w:rsidR="006F5FD0" w:rsidRPr="00B33EE6" w:rsidRDefault="007727F3" w:rsidP="00371C5B">
      <w:pPr>
        <w:keepNext/>
        <w:widowControl/>
        <w:spacing w:before="240" w:after="120"/>
        <w:ind w:left="284" w:hanging="284"/>
        <w:outlineLvl w:val="0"/>
        <w:rPr>
          <w:sz w:val="22"/>
          <w:szCs w:val="22"/>
          <w:lang w:val="en-GB"/>
        </w:rPr>
      </w:pPr>
      <w:r w:rsidRPr="00B33EE6">
        <w:rPr>
          <w:rStyle w:val="Kiemels2"/>
          <w:sz w:val="22"/>
          <w:szCs w:val="22"/>
          <w:lang w:val="en-GB"/>
        </w:rPr>
        <w:t>1.</w:t>
      </w:r>
      <w:r w:rsidR="00584BF4" w:rsidRPr="00B33EE6">
        <w:rPr>
          <w:rStyle w:val="Kiemels2"/>
          <w:sz w:val="22"/>
          <w:szCs w:val="22"/>
          <w:lang w:val="en-GB"/>
        </w:rPr>
        <w:tab/>
      </w:r>
      <w:r w:rsidR="00632BDC" w:rsidRPr="00B33EE6">
        <w:rPr>
          <w:rStyle w:val="Kiemels2"/>
          <w:sz w:val="22"/>
          <w:szCs w:val="22"/>
          <w:lang w:val="en-GB"/>
        </w:rPr>
        <w:t>R</w:t>
      </w:r>
      <w:r w:rsidR="006F5FD0" w:rsidRPr="00B33EE6">
        <w:rPr>
          <w:rStyle w:val="Kiemels2"/>
          <w:sz w:val="22"/>
          <w:szCs w:val="22"/>
          <w:lang w:val="en-GB"/>
        </w:rPr>
        <w:t>eference</w:t>
      </w:r>
    </w:p>
    <w:p w14:paraId="49D136FE" w14:textId="329E48FD" w:rsidR="006F5FD0" w:rsidRPr="00B33EE6" w:rsidRDefault="008B05E5" w:rsidP="00371C5B">
      <w:pPr>
        <w:pStyle w:val="Blockquote"/>
        <w:spacing w:before="40" w:after="60"/>
        <w:ind w:left="284" w:right="0"/>
        <w:rPr>
          <w:i/>
          <w:sz w:val="22"/>
          <w:szCs w:val="22"/>
          <w:lang w:val="en-GB"/>
        </w:rPr>
      </w:pPr>
      <w:r w:rsidRPr="00F94A14">
        <w:rPr>
          <w:sz w:val="22"/>
          <w:szCs w:val="22"/>
          <w:lang w:val="en-GB"/>
        </w:rPr>
        <w:t>No. HUSRB/23L/21/004</w:t>
      </w:r>
      <w:r w:rsidR="00F94A14" w:rsidRPr="00F94A14">
        <w:rPr>
          <w:sz w:val="22"/>
          <w:szCs w:val="22"/>
          <w:lang w:val="en-GB"/>
        </w:rPr>
        <w:t>/LP/01</w:t>
      </w:r>
    </w:p>
    <w:p w14:paraId="7A3797D8" w14:textId="77777777" w:rsidR="006F5FD0" w:rsidRPr="00371C5B" w:rsidRDefault="007727F3" w:rsidP="00371C5B">
      <w:pPr>
        <w:keepNext/>
        <w:widowControl/>
        <w:spacing w:before="240" w:after="120"/>
        <w:ind w:left="284" w:hanging="284"/>
        <w:outlineLvl w:val="0"/>
        <w:rPr>
          <w:rStyle w:val="Kiemels2"/>
        </w:rPr>
      </w:pPr>
      <w:r w:rsidRPr="00B33EE6">
        <w:rPr>
          <w:rStyle w:val="Kiemels2"/>
          <w:sz w:val="22"/>
          <w:szCs w:val="22"/>
          <w:lang w:val="en-GB"/>
        </w:rPr>
        <w:t>2.</w:t>
      </w:r>
      <w:r w:rsidR="00584BF4" w:rsidRPr="00B33EE6">
        <w:rPr>
          <w:rStyle w:val="Kiemels2"/>
          <w:sz w:val="22"/>
          <w:szCs w:val="22"/>
          <w:lang w:val="en-GB"/>
        </w:rPr>
        <w:tab/>
      </w:r>
      <w:r w:rsidR="006F5FD0" w:rsidRPr="00B33EE6">
        <w:rPr>
          <w:rStyle w:val="Kiemels2"/>
          <w:sz w:val="22"/>
          <w:szCs w:val="22"/>
          <w:lang w:val="en-GB"/>
        </w:rPr>
        <w:t>Procedure</w:t>
      </w:r>
    </w:p>
    <w:p w14:paraId="41C9370C" w14:textId="71C94819" w:rsidR="006F5FD0" w:rsidRPr="00B33EE6" w:rsidRDefault="00F94A14" w:rsidP="00371C5B">
      <w:pPr>
        <w:pStyle w:val="Blockquote"/>
        <w:spacing w:before="40" w:after="60"/>
        <w:ind w:left="284" w:right="0"/>
        <w:rPr>
          <w:sz w:val="22"/>
          <w:szCs w:val="22"/>
          <w:lang w:val="en-GB"/>
        </w:rPr>
      </w:pPr>
      <w:r>
        <w:rPr>
          <w:sz w:val="22"/>
          <w:szCs w:val="22"/>
          <w:lang w:val="en-GB"/>
        </w:rPr>
        <w:t>Local open</w:t>
      </w:r>
      <w:r w:rsidR="00584BF4" w:rsidRPr="00B33EE6">
        <w:rPr>
          <w:sz w:val="22"/>
          <w:szCs w:val="22"/>
          <w:lang w:val="en-GB"/>
        </w:rPr>
        <w:t xml:space="preserve"> </w:t>
      </w:r>
    </w:p>
    <w:p w14:paraId="5F51B1AE" w14:textId="77777777" w:rsidR="00971962" w:rsidRPr="00371C5B" w:rsidRDefault="006F5FD0" w:rsidP="00371C5B">
      <w:pPr>
        <w:keepNext/>
        <w:widowControl/>
        <w:spacing w:before="240" w:after="120"/>
        <w:ind w:left="284" w:hanging="284"/>
        <w:outlineLvl w:val="0"/>
        <w:rPr>
          <w:rStyle w:val="Kiemels2"/>
        </w:rPr>
      </w:pPr>
      <w:r w:rsidRPr="00B33EE6">
        <w:rPr>
          <w:rStyle w:val="Kiemels2"/>
          <w:sz w:val="22"/>
          <w:szCs w:val="22"/>
          <w:lang w:val="en-GB"/>
        </w:rPr>
        <w:t xml:space="preserve">3. </w:t>
      </w:r>
      <w:r w:rsidR="00584BF4" w:rsidRPr="00B33EE6">
        <w:rPr>
          <w:rStyle w:val="Kiemels2"/>
          <w:sz w:val="22"/>
          <w:szCs w:val="22"/>
          <w:lang w:val="en-GB"/>
        </w:rPr>
        <w:tab/>
      </w:r>
      <w:r w:rsidRPr="00B33EE6">
        <w:rPr>
          <w:rStyle w:val="Kiemels2"/>
          <w:sz w:val="22"/>
          <w:szCs w:val="22"/>
          <w:lang w:val="en-GB"/>
        </w:rPr>
        <w:t>Programme</w:t>
      </w:r>
      <w:r w:rsidR="00971962" w:rsidRPr="00B33EE6">
        <w:rPr>
          <w:rStyle w:val="Kiemels2"/>
          <w:sz w:val="22"/>
          <w:szCs w:val="22"/>
          <w:lang w:val="en-GB"/>
        </w:rPr>
        <w:t xml:space="preserve"> title</w:t>
      </w:r>
    </w:p>
    <w:p w14:paraId="5C1A56BF" w14:textId="048E8E64" w:rsidR="00971962" w:rsidRPr="00A2072F" w:rsidRDefault="00F94A14" w:rsidP="008B05E5">
      <w:pPr>
        <w:pStyle w:val="PRAGHeading2"/>
        <w:numPr>
          <w:ilvl w:val="0"/>
          <w:numId w:val="0"/>
        </w:numPr>
        <w:spacing w:before="0" w:after="120" w:line="240" w:lineRule="atLeast"/>
        <w:ind w:left="426"/>
        <w:rPr>
          <w:sz w:val="22"/>
          <w:szCs w:val="22"/>
          <w:lang w:val="en-GB"/>
        </w:rPr>
      </w:pPr>
      <w:r w:rsidRPr="00A2072F">
        <w:rPr>
          <w:sz w:val="22"/>
          <w:szCs w:val="22"/>
        </w:rPr>
        <w:t>The Interreg VI-A IPA Hungary-Serbia programme is implemented within the 2021-2027 European Union financial framework, under the Instrument for Pre-accession Assistance (IPA).</w:t>
      </w:r>
    </w:p>
    <w:p w14:paraId="797EC4DC" w14:textId="77777777" w:rsidR="006F5FD0" w:rsidRPr="00371C5B" w:rsidRDefault="006F5FD0" w:rsidP="00371C5B">
      <w:pPr>
        <w:keepNext/>
        <w:widowControl/>
        <w:spacing w:before="240" w:after="120"/>
        <w:ind w:left="284" w:hanging="284"/>
        <w:outlineLvl w:val="0"/>
        <w:rPr>
          <w:rStyle w:val="Kiemels2"/>
        </w:rPr>
      </w:pPr>
      <w:r w:rsidRPr="00B33EE6">
        <w:rPr>
          <w:rStyle w:val="Kiemels2"/>
          <w:sz w:val="22"/>
          <w:szCs w:val="22"/>
          <w:lang w:val="en-GB"/>
        </w:rPr>
        <w:t xml:space="preserve">4. </w:t>
      </w:r>
      <w:r w:rsidR="00584BF4" w:rsidRPr="00B33EE6">
        <w:rPr>
          <w:rStyle w:val="Kiemels2"/>
          <w:sz w:val="22"/>
          <w:szCs w:val="22"/>
          <w:lang w:val="en-GB"/>
        </w:rPr>
        <w:tab/>
      </w:r>
      <w:r w:rsidRPr="00B33EE6">
        <w:rPr>
          <w:rStyle w:val="Kiemels2"/>
          <w:sz w:val="22"/>
          <w:szCs w:val="22"/>
          <w:lang w:val="en-GB"/>
        </w:rPr>
        <w:t>Financing</w:t>
      </w:r>
    </w:p>
    <w:p w14:paraId="0F532635" w14:textId="737DFAE8" w:rsidR="00502217" w:rsidRDefault="008B05E5" w:rsidP="008B05E5">
      <w:pPr>
        <w:spacing w:before="0" w:after="120" w:line="240" w:lineRule="atLeast"/>
        <w:ind w:left="426" w:right="360"/>
        <w:rPr>
          <w:sz w:val="22"/>
          <w:szCs w:val="22"/>
          <w:lang w:val="en-GB"/>
        </w:rPr>
      </w:pPr>
      <w:r w:rsidRPr="00F94A14">
        <w:rPr>
          <w:sz w:val="22"/>
          <w:szCs w:val="22"/>
          <w:lang w:val="en-GB"/>
        </w:rPr>
        <w:t xml:space="preserve"> Subsidy contract No. HUSRB/23L/21/004</w:t>
      </w:r>
    </w:p>
    <w:p w14:paraId="430F962F" w14:textId="2991A966" w:rsidR="00F94A14" w:rsidRPr="00B33EE6" w:rsidRDefault="00F94A14" w:rsidP="008B05E5">
      <w:pPr>
        <w:spacing w:before="0" w:after="120" w:line="240" w:lineRule="atLeast"/>
        <w:ind w:left="426" w:right="360"/>
        <w:rPr>
          <w:sz w:val="22"/>
          <w:szCs w:val="22"/>
          <w:lang w:val="en-GB"/>
        </w:rPr>
      </w:pPr>
      <w:r>
        <w:rPr>
          <w:sz w:val="22"/>
          <w:szCs w:val="22"/>
          <w:lang w:val="en-GB"/>
        </w:rPr>
        <w:t xml:space="preserve">Budget line: </w:t>
      </w:r>
      <w:r w:rsidRPr="00F94A14">
        <w:rPr>
          <w:sz w:val="22"/>
          <w:szCs w:val="22"/>
          <w:lang w:val="en-GB"/>
        </w:rPr>
        <w:t>Equipment expenditure</w:t>
      </w:r>
      <w:r>
        <w:rPr>
          <w:sz w:val="22"/>
          <w:szCs w:val="22"/>
          <w:lang w:val="en-GB"/>
        </w:rPr>
        <w:t xml:space="preserve"> 5.1.1.</w:t>
      </w:r>
    </w:p>
    <w:p w14:paraId="03ED8384" w14:textId="77777777" w:rsidR="006F5FD0" w:rsidRPr="00371C5B" w:rsidRDefault="006F5FD0" w:rsidP="00371C5B">
      <w:pPr>
        <w:keepNext/>
        <w:widowControl/>
        <w:spacing w:before="240" w:after="120"/>
        <w:ind w:left="284" w:hanging="284"/>
        <w:outlineLvl w:val="0"/>
        <w:rPr>
          <w:rStyle w:val="Kiemels2"/>
        </w:rPr>
      </w:pPr>
      <w:r w:rsidRPr="00B33EE6">
        <w:rPr>
          <w:rStyle w:val="Kiemels2"/>
          <w:sz w:val="22"/>
          <w:szCs w:val="22"/>
          <w:lang w:val="en-GB"/>
        </w:rPr>
        <w:t xml:space="preserve">5. </w:t>
      </w:r>
      <w:r w:rsidR="00584BF4" w:rsidRPr="00B33EE6">
        <w:rPr>
          <w:rStyle w:val="Kiemels2"/>
          <w:sz w:val="22"/>
          <w:szCs w:val="22"/>
          <w:lang w:val="en-GB"/>
        </w:rPr>
        <w:tab/>
      </w:r>
      <w:r w:rsidRPr="00B33EE6">
        <w:rPr>
          <w:rStyle w:val="Kiemels2"/>
          <w:sz w:val="22"/>
          <w:szCs w:val="22"/>
          <w:lang w:val="en-GB"/>
        </w:rPr>
        <w:t xml:space="preserve">Contracting </w:t>
      </w:r>
      <w:r w:rsidR="00FE4E4B">
        <w:rPr>
          <w:rStyle w:val="Kiemels2"/>
          <w:sz w:val="22"/>
          <w:szCs w:val="22"/>
          <w:lang w:val="en-GB"/>
        </w:rPr>
        <w:t>a</w:t>
      </w:r>
      <w:r w:rsidRPr="00B33EE6">
        <w:rPr>
          <w:rStyle w:val="Kiemels2"/>
          <w:sz w:val="22"/>
          <w:szCs w:val="22"/>
          <w:lang w:val="en-GB"/>
        </w:rPr>
        <w:t>uthority</w:t>
      </w:r>
    </w:p>
    <w:p w14:paraId="2259BEAD" w14:textId="1C114CB1" w:rsidR="006F5FD0" w:rsidRDefault="008B05E5" w:rsidP="00371C5B">
      <w:pPr>
        <w:ind w:left="357"/>
        <w:jc w:val="both"/>
        <w:rPr>
          <w:rStyle w:val="Kiemels"/>
          <w:i w:val="0"/>
          <w:sz w:val="22"/>
          <w:szCs w:val="22"/>
          <w:lang w:val="en-GB"/>
        </w:rPr>
      </w:pPr>
      <w:bookmarkStart w:id="0" w:name="_Hlk169255215"/>
      <w:r w:rsidRPr="00F94A14">
        <w:rPr>
          <w:rStyle w:val="Kiemels"/>
          <w:i w:val="0"/>
          <w:sz w:val="22"/>
          <w:szCs w:val="22"/>
          <w:lang w:val="en-GB"/>
        </w:rPr>
        <w:t>Foundation Pro Scientia Naturae, 2440 Senta, Jesenja 18, Republic of Serbia</w:t>
      </w:r>
    </w:p>
    <w:bookmarkEnd w:id="0"/>
    <w:p w14:paraId="67F4A905" w14:textId="77777777" w:rsidR="006F5FD0" w:rsidRPr="00B33EE6" w:rsidRDefault="00780830" w:rsidP="00347E84">
      <w:pPr>
        <w:rPr>
          <w:sz w:val="22"/>
          <w:szCs w:val="22"/>
          <w:lang w:val="en-GB"/>
        </w:rPr>
      </w:pPr>
      <w:r>
        <w:rPr>
          <w:snapToGrid/>
          <w:sz w:val="22"/>
          <w:szCs w:val="22"/>
          <w:lang w:val="en-GB"/>
        </w:rPr>
        <w:pict w14:anchorId="589D319E">
          <v:line id="_x0000_s2051" style="position:absolute;z-index:251655680" from="0,12pt" to="468pt,12.05pt" o:allowincell="f" strokecolor="#d4d4d4" strokeweight="1.75pt">
            <v:shadow on="t" origin=",32385f" offset="0,-1pt"/>
          </v:line>
        </w:pict>
      </w:r>
    </w:p>
    <w:p w14:paraId="30050B2B" w14:textId="77777777" w:rsidR="006F5FD0" w:rsidRPr="00B33EE6" w:rsidRDefault="006F5FD0" w:rsidP="00347E84">
      <w:pPr>
        <w:jc w:val="center"/>
        <w:rPr>
          <w:sz w:val="28"/>
          <w:szCs w:val="28"/>
          <w:lang w:val="en-GB"/>
        </w:rPr>
      </w:pPr>
      <w:r w:rsidRPr="00B33EE6">
        <w:rPr>
          <w:rStyle w:val="Kiemels2"/>
          <w:sz w:val="28"/>
          <w:szCs w:val="28"/>
          <w:lang w:val="en-GB"/>
        </w:rPr>
        <w:t>CONTRACT SPECIFICATION</w:t>
      </w:r>
    </w:p>
    <w:p w14:paraId="4C8A4F1B" w14:textId="77777777" w:rsidR="006F5FD0" w:rsidRPr="00371C5B" w:rsidRDefault="006F5FD0" w:rsidP="00371C5B">
      <w:pPr>
        <w:keepNext/>
        <w:widowControl/>
        <w:spacing w:before="240" w:after="120"/>
        <w:ind w:left="284" w:hanging="284"/>
        <w:outlineLvl w:val="0"/>
        <w:rPr>
          <w:rStyle w:val="Kiemels2"/>
        </w:rPr>
      </w:pPr>
      <w:r w:rsidRPr="00B33EE6">
        <w:rPr>
          <w:rStyle w:val="Kiemels2"/>
          <w:sz w:val="22"/>
          <w:szCs w:val="22"/>
          <w:lang w:val="en-GB"/>
        </w:rPr>
        <w:t xml:space="preserve">6. </w:t>
      </w:r>
      <w:r w:rsidR="00584BF4" w:rsidRPr="00B33EE6">
        <w:rPr>
          <w:rStyle w:val="Kiemels2"/>
          <w:sz w:val="22"/>
          <w:szCs w:val="22"/>
          <w:lang w:val="en-GB"/>
        </w:rPr>
        <w:tab/>
      </w:r>
      <w:r w:rsidRPr="00B33EE6">
        <w:rPr>
          <w:rStyle w:val="Kiemels2"/>
          <w:sz w:val="22"/>
          <w:szCs w:val="22"/>
          <w:lang w:val="en-GB"/>
        </w:rPr>
        <w:t>Nature of contract</w:t>
      </w:r>
    </w:p>
    <w:p w14:paraId="71099A85" w14:textId="07C9B878" w:rsidR="006F5FD0" w:rsidRPr="00B33EE6" w:rsidRDefault="00172785" w:rsidP="00371C5B">
      <w:pPr>
        <w:pStyle w:val="Blockquote"/>
        <w:spacing w:before="40" w:after="60"/>
        <w:ind w:left="284" w:right="0"/>
        <w:rPr>
          <w:i/>
          <w:sz w:val="22"/>
          <w:szCs w:val="22"/>
          <w:lang w:val="en-GB"/>
        </w:rPr>
      </w:pPr>
      <w:r w:rsidRPr="00F94A14">
        <w:rPr>
          <w:rStyle w:val="Kiemels"/>
          <w:i w:val="0"/>
          <w:sz w:val="22"/>
          <w:szCs w:val="22"/>
          <w:lang w:val="en-GB"/>
        </w:rPr>
        <w:t>U</w:t>
      </w:r>
      <w:r w:rsidR="008A1184" w:rsidRPr="00F94A14">
        <w:rPr>
          <w:rStyle w:val="Kiemels"/>
          <w:i w:val="0"/>
          <w:sz w:val="22"/>
          <w:szCs w:val="22"/>
          <w:lang w:val="en-GB"/>
        </w:rPr>
        <w:t>nit-price</w:t>
      </w:r>
    </w:p>
    <w:p w14:paraId="1879C6BF" w14:textId="77777777" w:rsidR="006F5FD0" w:rsidRPr="00371C5B" w:rsidRDefault="006F5FD0" w:rsidP="00371C5B">
      <w:pPr>
        <w:keepNext/>
        <w:widowControl/>
        <w:spacing w:before="240" w:after="120"/>
        <w:ind w:left="284" w:hanging="284"/>
        <w:outlineLvl w:val="0"/>
        <w:rPr>
          <w:rStyle w:val="Kiemels2"/>
        </w:rPr>
      </w:pPr>
      <w:r w:rsidRPr="00B33EE6">
        <w:rPr>
          <w:rStyle w:val="Kiemels2"/>
          <w:sz w:val="22"/>
          <w:szCs w:val="22"/>
          <w:lang w:val="en-GB"/>
        </w:rPr>
        <w:t xml:space="preserve">7. </w:t>
      </w:r>
      <w:r w:rsidR="00584BF4" w:rsidRPr="00B33EE6">
        <w:rPr>
          <w:rStyle w:val="Kiemels2"/>
          <w:sz w:val="22"/>
          <w:szCs w:val="22"/>
          <w:lang w:val="en-GB"/>
        </w:rPr>
        <w:tab/>
      </w:r>
      <w:r w:rsidRPr="00B33EE6">
        <w:rPr>
          <w:rStyle w:val="Kiemels2"/>
          <w:sz w:val="22"/>
          <w:szCs w:val="22"/>
          <w:lang w:val="en-GB"/>
        </w:rPr>
        <w:t>Contract description</w:t>
      </w:r>
    </w:p>
    <w:p w14:paraId="197AD1FD" w14:textId="3E4E6099" w:rsidR="00663BB9" w:rsidRPr="00F94A14" w:rsidRDefault="00663BB9" w:rsidP="00663BB9">
      <w:pPr>
        <w:jc w:val="both"/>
        <w:rPr>
          <w:rStyle w:val="Kiemels2"/>
          <w:b w:val="0"/>
          <w:bCs/>
          <w:szCs w:val="24"/>
          <w:lang w:val="en-GB"/>
        </w:rPr>
      </w:pPr>
      <w:r w:rsidRPr="00F94A14">
        <w:rPr>
          <w:rStyle w:val="Kiemels2"/>
          <w:b w:val="0"/>
          <w:bCs/>
          <w:szCs w:val="24"/>
          <w:lang w:val="en-GB"/>
        </w:rPr>
        <w:t xml:space="preserve">Two mobile container classrooms that can be moved to picked sites where it will serve as outdoor training centres tailored to the on-site training aspects of the new natural resources conservation, </w:t>
      </w:r>
      <w:r w:rsidR="00925A2D" w:rsidRPr="00F94A14">
        <w:rPr>
          <w:rStyle w:val="Kiemels2"/>
          <w:b w:val="0"/>
          <w:bCs/>
          <w:szCs w:val="24"/>
          <w:lang w:val="en-GB"/>
        </w:rPr>
        <w:t>agro</w:t>
      </w:r>
      <w:r w:rsidRPr="00F94A14">
        <w:rPr>
          <w:rStyle w:val="Kiemels2"/>
          <w:b w:val="0"/>
          <w:bCs/>
          <w:szCs w:val="24"/>
          <w:lang w:val="en-GB"/>
        </w:rPr>
        <w:t xml:space="preserve">-digitalisation and viticulture-winemaking training courses. </w:t>
      </w:r>
    </w:p>
    <w:p w14:paraId="17D6A6B6" w14:textId="51C9BB33" w:rsidR="00663BB9" w:rsidRDefault="00663BB9" w:rsidP="00663BB9">
      <w:pPr>
        <w:jc w:val="both"/>
        <w:rPr>
          <w:rStyle w:val="Kiemels2"/>
          <w:b w:val="0"/>
          <w:bCs/>
          <w:szCs w:val="24"/>
          <w:lang w:val="en-GB"/>
        </w:rPr>
      </w:pPr>
      <w:r w:rsidRPr="00B16E47">
        <w:rPr>
          <w:rStyle w:val="Kiemels2"/>
          <w:b w:val="0"/>
          <w:bCs/>
          <w:szCs w:val="24"/>
          <w:lang w:val="en-GB"/>
        </w:rPr>
        <w:t>These mobile units, each combining 2 containers and placed on a truck platform, will provide practical learning environment for both the trainers and the participants. The equipment of the containers include: sanitary elements, electricity and plumbing systems. The additional equipment includes:</w:t>
      </w:r>
    </w:p>
    <w:p w14:paraId="3AB1A0B6"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xml:space="preserve">- Cooling-heating system </w:t>
      </w:r>
    </w:p>
    <w:p w14:paraId="4B6F2F19"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xml:space="preserve">- Electronic devices </w:t>
      </w:r>
    </w:p>
    <w:p w14:paraId="036EA8C7"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xml:space="preserve">- Video conferencing system </w:t>
      </w:r>
    </w:p>
    <w:p w14:paraId="474D93D6"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Computers</w:t>
      </w:r>
    </w:p>
    <w:p w14:paraId="062D65C4"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Furniture</w:t>
      </w:r>
    </w:p>
    <w:p w14:paraId="16A5CEB2" w14:textId="77777777"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lastRenderedPageBreak/>
        <w:t xml:space="preserve">- Educational equipment </w:t>
      </w:r>
    </w:p>
    <w:p w14:paraId="431F6280" w14:textId="71F748DF" w:rsidR="00B16E47" w:rsidRPr="00B16E47" w:rsidRDefault="00B16E47" w:rsidP="00B16E47">
      <w:pPr>
        <w:spacing w:before="0" w:after="0"/>
        <w:jc w:val="both"/>
        <w:rPr>
          <w:rStyle w:val="Kiemels2"/>
          <w:b w:val="0"/>
          <w:bCs/>
          <w:szCs w:val="24"/>
          <w:lang w:val="en-GB"/>
        </w:rPr>
      </w:pPr>
      <w:r w:rsidRPr="00B16E47">
        <w:rPr>
          <w:rStyle w:val="Kiemels2"/>
          <w:b w:val="0"/>
          <w:bCs/>
          <w:szCs w:val="24"/>
          <w:lang w:val="en-GB"/>
        </w:rPr>
        <w:t>- Solar system</w:t>
      </w:r>
    </w:p>
    <w:p w14:paraId="75E79BC7" w14:textId="77777777" w:rsidR="006F5FD0" w:rsidRPr="00371C5B" w:rsidRDefault="006F5FD0" w:rsidP="00B16E47">
      <w:pPr>
        <w:keepNext/>
        <w:widowControl/>
        <w:spacing w:before="240" w:after="120"/>
        <w:outlineLvl w:val="0"/>
        <w:rPr>
          <w:rStyle w:val="Kiemels2"/>
        </w:rPr>
      </w:pPr>
      <w:r w:rsidRPr="00B33EE6">
        <w:rPr>
          <w:rStyle w:val="Kiemels2"/>
          <w:sz w:val="22"/>
          <w:szCs w:val="22"/>
          <w:lang w:val="en-GB"/>
        </w:rPr>
        <w:t xml:space="preserve">8. </w:t>
      </w:r>
      <w:r w:rsidR="00584BF4" w:rsidRPr="00B33EE6">
        <w:rPr>
          <w:rStyle w:val="Kiemels2"/>
          <w:sz w:val="22"/>
          <w:szCs w:val="22"/>
          <w:lang w:val="en-GB"/>
        </w:rPr>
        <w:tab/>
      </w:r>
      <w:r w:rsidRPr="00B33EE6">
        <w:rPr>
          <w:rStyle w:val="Kiemels2"/>
          <w:sz w:val="22"/>
          <w:szCs w:val="22"/>
          <w:lang w:val="en-GB"/>
        </w:rPr>
        <w:t>Number and titles of lots</w:t>
      </w:r>
    </w:p>
    <w:p w14:paraId="2322095B" w14:textId="69494753" w:rsidR="00820CDB" w:rsidRPr="00F236C9" w:rsidRDefault="00820CDB" w:rsidP="00371C5B">
      <w:pPr>
        <w:pStyle w:val="Blockquote"/>
        <w:spacing w:before="40" w:after="60"/>
        <w:ind w:left="284" w:right="0"/>
        <w:rPr>
          <w:rStyle w:val="Kiemels2"/>
          <w:b w:val="0"/>
          <w:sz w:val="22"/>
          <w:szCs w:val="22"/>
          <w:lang w:val="en-GB"/>
        </w:rPr>
      </w:pPr>
      <w:r w:rsidRPr="00F236C9">
        <w:rPr>
          <w:rStyle w:val="Kiemels2"/>
          <w:b w:val="0"/>
          <w:sz w:val="22"/>
          <w:szCs w:val="22"/>
          <w:lang w:val="en-GB"/>
        </w:rPr>
        <w:t>This contract is divided into lots:</w:t>
      </w:r>
      <w:r w:rsidRPr="00F236C9">
        <w:rPr>
          <w:rStyle w:val="Kiemels2"/>
          <w:sz w:val="22"/>
          <w:szCs w:val="22"/>
          <w:lang w:val="en-GB"/>
        </w:rPr>
        <w:t xml:space="preserve"> </w:t>
      </w:r>
      <w:r w:rsidRPr="00B16E47">
        <w:rPr>
          <w:rStyle w:val="Kiemels2"/>
          <w:b w:val="0"/>
          <w:sz w:val="22"/>
          <w:szCs w:val="22"/>
          <w:lang w:val="en-GB"/>
        </w:rPr>
        <w:t>no</w:t>
      </w:r>
    </w:p>
    <w:p w14:paraId="6C843D95" w14:textId="77777777" w:rsidR="006F5FD0" w:rsidRPr="00B33EE6" w:rsidRDefault="00780830" w:rsidP="00371C5B">
      <w:pPr>
        <w:outlineLvl w:val="0"/>
        <w:rPr>
          <w:sz w:val="22"/>
          <w:szCs w:val="22"/>
          <w:lang w:val="en-GB"/>
        </w:rPr>
      </w:pPr>
      <w:r>
        <w:rPr>
          <w:snapToGrid/>
          <w:sz w:val="22"/>
          <w:szCs w:val="22"/>
          <w:lang w:val="en-GB"/>
        </w:rPr>
        <w:pict w14:anchorId="21854D6C">
          <v:line id="_x0000_s2052" style="position:absolute;z-index:251656704" from="-1.05pt,17.55pt" to="466.95pt,17.6pt" o:allowincell="f" strokecolor="#d4d4d4" strokeweight="1.75pt">
            <v:shadow on="t" origin=",32385f" offset="0,-1pt"/>
          </v:line>
        </w:pict>
      </w:r>
    </w:p>
    <w:p w14:paraId="283B6821" w14:textId="77777777" w:rsidR="006F5FD0" w:rsidRPr="00B33EE6" w:rsidRDefault="006F5FD0" w:rsidP="00347E84">
      <w:pPr>
        <w:jc w:val="center"/>
        <w:rPr>
          <w:sz w:val="28"/>
          <w:szCs w:val="28"/>
          <w:lang w:val="en-GB"/>
        </w:rPr>
      </w:pPr>
      <w:r w:rsidRPr="00B33EE6">
        <w:rPr>
          <w:rStyle w:val="Kiemels2"/>
          <w:sz w:val="28"/>
          <w:szCs w:val="28"/>
          <w:lang w:val="en-GB"/>
        </w:rPr>
        <w:t>CONDITIONS OF PARTICIPATION</w:t>
      </w:r>
    </w:p>
    <w:p w14:paraId="2CB5FCF7" w14:textId="47E123D2" w:rsidR="00B9793F" w:rsidRDefault="002845CD" w:rsidP="00371C5B">
      <w:pPr>
        <w:keepNext/>
        <w:widowControl/>
        <w:spacing w:before="240" w:after="120"/>
        <w:ind w:left="284" w:hanging="284"/>
        <w:outlineLvl w:val="0"/>
        <w:rPr>
          <w:rStyle w:val="Kiemels2"/>
          <w:sz w:val="22"/>
          <w:szCs w:val="22"/>
          <w:lang w:val="en-GB"/>
        </w:rPr>
      </w:pPr>
      <w:r>
        <w:rPr>
          <w:rStyle w:val="Kiemels2"/>
          <w:sz w:val="22"/>
          <w:szCs w:val="22"/>
          <w:lang w:val="en-GB"/>
        </w:rPr>
        <w:t>9</w:t>
      </w:r>
      <w:r w:rsidR="00B9793F">
        <w:rPr>
          <w:rStyle w:val="Kiemels2"/>
          <w:sz w:val="22"/>
          <w:szCs w:val="22"/>
          <w:lang w:val="en-GB"/>
        </w:rPr>
        <w:t>.</w:t>
      </w:r>
      <w:r w:rsidR="00FD5083">
        <w:rPr>
          <w:rStyle w:val="Kiemels2"/>
          <w:sz w:val="22"/>
          <w:szCs w:val="22"/>
          <w:lang w:val="en-GB"/>
        </w:rPr>
        <w:tab/>
      </w:r>
      <w:r w:rsidR="00B9793F" w:rsidRPr="00D97139">
        <w:rPr>
          <w:rStyle w:val="Kiemels2"/>
          <w:sz w:val="22"/>
          <w:szCs w:val="22"/>
          <w:lang w:val="en-GB"/>
        </w:rPr>
        <w:t>Legal basis, eligibility and rules of origin</w:t>
      </w:r>
    </w:p>
    <w:p w14:paraId="381F6A2D" w14:textId="0FDB4C7D" w:rsidR="00326B16" w:rsidRPr="00D97139" w:rsidRDefault="00820CDB" w:rsidP="00371C5B">
      <w:pPr>
        <w:pStyle w:val="Lbjegyzetszveg"/>
        <w:ind w:firstLine="426"/>
        <w:jc w:val="center"/>
        <w:rPr>
          <w:rStyle w:val="Kiemels2"/>
          <w:sz w:val="22"/>
          <w:szCs w:val="22"/>
          <w:lang w:val="en-GB"/>
        </w:rPr>
      </w:pPr>
      <w:r>
        <w:rPr>
          <w:rStyle w:val="Kiemels2"/>
          <w:sz w:val="22"/>
          <w:szCs w:val="22"/>
          <w:lang w:val="en-GB"/>
        </w:rPr>
        <w:t>*****</w:t>
      </w:r>
    </w:p>
    <w:p w14:paraId="04E947DD" w14:textId="6C12D0F3" w:rsidR="00B9793F" w:rsidRPr="00B16E47" w:rsidRDefault="00B9793F" w:rsidP="00371C5B">
      <w:pPr>
        <w:pStyle w:val="paragraph"/>
        <w:spacing w:before="0" w:beforeAutospacing="0" w:after="0" w:afterAutospacing="0"/>
        <w:ind w:left="284"/>
        <w:jc w:val="both"/>
        <w:textAlignment w:val="baseline"/>
        <w:rPr>
          <w:rFonts w:ascii="Segoe UI" w:hAnsi="Segoe UI" w:cs="Segoe UI"/>
          <w:sz w:val="22"/>
          <w:szCs w:val="22"/>
          <w:lang w:val="en-GB"/>
        </w:rPr>
      </w:pPr>
      <w:r w:rsidRPr="00B16E47">
        <w:rPr>
          <w:iCs/>
          <w:sz w:val="22"/>
          <w:szCs w:val="22"/>
          <w:lang w:val="en-IE"/>
        </w:rPr>
        <w:t>The legal basis of this procedure is Regulation (EU) No </w:t>
      </w:r>
      <w:r w:rsidR="00A609E7" w:rsidRPr="00B16E47">
        <w:rPr>
          <w:iCs/>
          <w:sz w:val="22"/>
          <w:szCs w:val="22"/>
          <w:lang w:val="en-IE"/>
        </w:rPr>
        <w:t>2021/</w:t>
      </w:r>
      <w:r w:rsidR="009E5C83" w:rsidRPr="00B16E47">
        <w:rPr>
          <w:iCs/>
          <w:sz w:val="22"/>
          <w:szCs w:val="22"/>
          <w:lang w:val="en-IE"/>
        </w:rPr>
        <w:t>1529</w:t>
      </w:r>
      <w:r w:rsidRPr="00B16E47">
        <w:rPr>
          <w:iCs/>
          <w:sz w:val="22"/>
          <w:szCs w:val="22"/>
          <w:lang w:val="en-IE"/>
        </w:rPr>
        <w:t xml:space="preserve"> establishing the Instrument for Pre-accession Assistance (IPA III). </w:t>
      </w:r>
      <w:r w:rsidRPr="00B16E47">
        <w:rPr>
          <w:iCs/>
          <w:lang w:val="en-IE"/>
        </w:rPr>
        <w:t>S</w:t>
      </w:r>
      <w:r w:rsidRPr="00B16E47">
        <w:rPr>
          <w:rStyle w:val="normaltextrun"/>
          <w:sz w:val="22"/>
          <w:szCs w:val="22"/>
          <w:lang w:val="en-GB"/>
        </w:rPr>
        <w:t>ee Annex A2</w:t>
      </w:r>
      <w:r w:rsidR="00A609E7" w:rsidRPr="00B16E47">
        <w:rPr>
          <w:rStyle w:val="normaltextrun"/>
          <w:sz w:val="22"/>
          <w:szCs w:val="22"/>
          <w:lang w:val="en-GB"/>
        </w:rPr>
        <w:t>a1</w:t>
      </w:r>
      <w:r w:rsidRPr="00B16E47">
        <w:rPr>
          <w:rStyle w:val="normaltextrun"/>
          <w:sz w:val="22"/>
          <w:szCs w:val="22"/>
          <w:lang w:val="en-GB"/>
        </w:rPr>
        <w:t xml:space="preserve"> of the practical guide.</w:t>
      </w:r>
    </w:p>
    <w:p w14:paraId="57544065" w14:textId="4909BA52" w:rsidR="00B9793F" w:rsidRPr="00B16E47" w:rsidRDefault="00B9793F" w:rsidP="00371C5B">
      <w:pPr>
        <w:pStyle w:val="paragraph"/>
        <w:spacing w:before="0" w:beforeAutospacing="0" w:after="120" w:afterAutospacing="0"/>
        <w:ind w:left="284"/>
        <w:jc w:val="both"/>
        <w:textAlignment w:val="baseline"/>
        <w:rPr>
          <w:iCs/>
          <w:sz w:val="22"/>
          <w:szCs w:val="22"/>
          <w:lang w:val="en-IE"/>
        </w:rPr>
      </w:pPr>
      <w:r w:rsidRPr="00B16E47">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w:t>
      </w:r>
      <w:r w:rsidR="00283F03">
        <w:rPr>
          <w:iCs/>
          <w:sz w:val="22"/>
          <w:szCs w:val="22"/>
          <w:lang w:val="en-IE"/>
        </w:rPr>
        <w:t>y established in a </w:t>
      </w:r>
      <w:r w:rsidRPr="00B16E47">
        <w:rPr>
          <w:iCs/>
          <w:sz w:val="22"/>
          <w:szCs w:val="22"/>
          <w:lang w:val="en-IE"/>
        </w:rPr>
        <w:t>Member State of the European Union or in an eligible country or territory as defined under Article 1</w:t>
      </w:r>
      <w:r w:rsidR="009E5C83" w:rsidRPr="00B16E47">
        <w:rPr>
          <w:iCs/>
          <w:sz w:val="22"/>
          <w:szCs w:val="22"/>
          <w:lang w:val="en-IE"/>
        </w:rPr>
        <w:t>1</w:t>
      </w:r>
      <w:r w:rsidRPr="00B16E47">
        <w:rPr>
          <w:iCs/>
          <w:sz w:val="22"/>
          <w:szCs w:val="22"/>
          <w:lang w:val="en-IE"/>
        </w:rPr>
        <w:t xml:space="preserve"> of Regulation (EU) No </w:t>
      </w:r>
      <w:bookmarkStart w:id="1" w:name="_Hlk169257528"/>
      <w:r w:rsidR="00A609E7" w:rsidRPr="00B16E47">
        <w:rPr>
          <w:iCs/>
          <w:sz w:val="22"/>
          <w:szCs w:val="22"/>
          <w:lang w:val="en-IE"/>
        </w:rPr>
        <w:t>2021/</w:t>
      </w:r>
      <w:r w:rsidR="009E5C83" w:rsidRPr="00B16E47">
        <w:rPr>
          <w:iCs/>
          <w:sz w:val="22"/>
          <w:szCs w:val="22"/>
          <w:lang w:val="en-IE"/>
        </w:rPr>
        <w:t>1529</w:t>
      </w:r>
      <w:r w:rsidRPr="00B16E47">
        <w:rPr>
          <w:iCs/>
          <w:sz w:val="22"/>
          <w:szCs w:val="22"/>
          <w:lang w:val="en-IE"/>
        </w:rPr>
        <w:t xml:space="preserve"> </w:t>
      </w:r>
      <w:bookmarkEnd w:id="1"/>
      <w:r w:rsidRPr="00B16E47">
        <w:rPr>
          <w:iCs/>
          <w:sz w:val="22"/>
          <w:szCs w:val="22"/>
          <w:lang w:val="en-IE"/>
        </w:rPr>
        <w:t xml:space="preserve">establishing the Instrument for Pre-accession Assistance (IPA III). </w:t>
      </w:r>
    </w:p>
    <w:p w14:paraId="2AD533C5" w14:textId="77777777" w:rsidR="00F36AE6" w:rsidRPr="00B16E47" w:rsidRDefault="0092504E" w:rsidP="00371C5B">
      <w:pPr>
        <w:pStyle w:val="paragraph"/>
        <w:spacing w:before="0" w:beforeAutospacing="0" w:after="120" w:afterAutospacing="0"/>
        <w:ind w:left="284"/>
        <w:jc w:val="both"/>
        <w:textAlignment w:val="baseline"/>
        <w:rPr>
          <w:iCs/>
          <w:sz w:val="22"/>
          <w:szCs w:val="22"/>
          <w:lang w:val="en-IE"/>
        </w:rPr>
      </w:pPr>
      <w:r w:rsidRPr="00B16E47">
        <w:rPr>
          <w:iCs/>
          <w:sz w:val="22"/>
          <w:szCs w:val="22"/>
          <w:lang w:val="en-IE"/>
        </w:rPr>
        <w:t>Participation is also open to international and regional organisations.</w:t>
      </w:r>
    </w:p>
    <w:p w14:paraId="0FBCD630" w14:textId="24B2B0BC" w:rsidR="0092504E" w:rsidRDefault="00F36AE6" w:rsidP="00371C5B">
      <w:pPr>
        <w:pStyle w:val="paragraph"/>
        <w:spacing w:before="0" w:beforeAutospacing="0" w:after="240" w:afterAutospacing="0"/>
        <w:ind w:left="284"/>
        <w:jc w:val="both"/>
        <w:textAlignment w:val="baseline"/>
        <w:rPr>
          <w:iCs/>
          <w:sz w:val="22"/>
          <w:szCs w:val="22"/>
          <w:lang w:val="en-IE"/>
        </w:rPr>
      </w:pPr>
      <w:r w:rsidRPr="00B16E47">
        <w:rPr>
          <w:rStyle w:val="normaltextrun"/>
          <w:sz w:val="22"/>
          <w:szCs w:val="22"/>
          <w:lang w:val="en-GB"/>
        </w:rPr>
        <w:t>All supplies under this contract may originate in any country</w:t>
      </w:r>
    </w:p>
    <w:p w14:paraId="63522FC5" w14:textId="79686E64" w:rsidR="006F5FD0" w:rsidRPr="00371C5B" w:rsidRDefault="006F5FD0" w:rsidP="00371C5B">
      <w:pPr>
        <w:keepNext/>
        <w:widowControl/>
        <w:spacing w:before="240" w:after="120"/>
        <w:ind w:left="426" w:hanging="426"/>
        <w:outlineLvl w:val="0"/>
        <w:rPr>
          <w:rStyle w:val="Kiemels2"/>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Kiemels2"/>
          <w:sz w:val="22"/>
          <w:szCs w:val="22"/>
          <w:lang w:val="en-GB"/>
        </w:rPr>
        <w:t>1</w:t>
      </w:r>
      <w:r w:rsidR="004563EB">
        <w:rPr>
          <w:rStyle w:val="Kiemels2"/>
          <w:sz w:val="22"/>
          <w:szCs w:val="22"/>
          <w:lang w:val="en-GB"/>
        </w:rPr>
        <w:t>0</w:t>
      </w:r>
      <w:r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 xml:space="preserve">Number of </w:t>
      </w:r>
      <w:r w:rsidR="00632BDC" w:rsidRPr="00B33EE6">
        <w:rPr>
          <w:rStyle w:val="Kiemels2"/>
          <w:sz w:val="22"/>
          <w:szCs w:val="22"/>
          <w:lang w:val="en-GB"/>
        </w:rPr>
        <w:t>tenders</w:t>
      </w:r>
    </w:p>
    <w:p w14:paraId="62FF8F53" w14:textId="77777777"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365FF395" w:rsidR="006F5FD0" w:rsidRPr="00371C5B" w:rsidRDefault="006F5FD0" w:rsidP="00371C5B">
      <w:pPr>
        <w:keepNext/>
        <w:widowControl/>
        <w:spacing w:before="240" w:after="120"/>
        <w:ind w:left="426" w:hanging="426"/>
        <w:outlineLvl w:val="0"/>
        <w:rPr>
          <w:rStyle w:val="Kiemels2"/>
        </w:rPr>
      </w:pPr>
      <w:r w:rsidRPr="00B33EE6">
        <w:rPr>
          <w:rStyle w:val="Kiemels2"/>
          <w:sz w:val="22"/>
          <w:szCs w:val="22"/>
          <w:lang w:val="en-GB"/>
        </w:rPr>
        <w:t>1</w:t>
      </w:r>
      <w:r w:rsidR="004563EB">
        <w:rPr>
          <w:rStyle w:val="Kiemels2"/>
          <w:sz w:val="22"/>
          <w:szCs w:val="22"/>
          <w:lang w:val="en-GB"/>
        </w:rPr>
        <w:t>1</w:t>
      </w:r>
      <w:r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Grounds for exclusion</w:t>
      </w:r>
    </w:p>
    <w:p w14:paraId="796D557F" w14:textId="54561F19"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entity(ies).</w:t>
      </w:r>
    </w:p>
    <w:p w14:paraId="7275ED88" w14:textId="5FCB0755" w:rsidR="0039147E" w:rsidRPr="00B33EE6" w:rsidRDefault="00C03AF5" w:rsidP="00371C5B">
      <w:pPr>
        <w:pStyle w:val="Blockquote"/>
        <w:spacing w:before="0" w:after="120"/>
        <w:ind w:left="425" w:right="0"/>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F06A6A">
        <w:rPr>
          <w:rStyle w:val="Lbjegyzet-hivatkozs"/>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06F3E870" w:rsidR="006F5FD0" w:rsidRPr="00371C5B" w:rsidRDefault="006F5FD0" w:rsidP="00371C5B">
      <w:pPr>
        <w:keepNext/>
        <w:widowControl/>
        <w:spacing w:before="240" w:after="120"/>
        <w:ind w:left="426" w:hanging="426"/>
        <w:outlineLvl w:val="0"/>
        <w:rPr>
          <w:rStyle w:val="Kiemels2"/>
        </w:rPr>
      </w:pPr>
      <w:r w:rsidRPr="00B33EE6">
        <w:rPr>
          <w:rStyle w:val="Kiemels2"/>
          <w:sz w:val="22"/>
          <w:szCs w:val="22"/>
          <w:lang w:val="en-GB"/>
        </w:rPr>
        <w:t>1</w:t>
      </w:r>
      <w:r w:rsidR="004563EB">
        <w:rPr>
          <w:rStyle w:val="Kiemels2"/>
          <w:sz w:val="22"/>
          <w:szCs w:val="22"/>
          <w:lang w:val="en-GB"/>
        </w:rPr>
        <w:t>2</w:t>
      </w:r>
      <w:r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Sub-contracting</w:t>
      </w:r>
    </w:p>
    <w:p w14:paraId="2C010702" w14:textId="391D26F8" w:rsidR="00E9047D" w:rsidRDefault="00780830" w:rsidP="00371C5B">
      <w:pPr>
        <w:pStyle w:val="Blockquote"/>
        <w:spacing w:before="0" w:after="480"/>
        <w:ind w:left="425" w:right="0"/>
        <w:jc w:val="both"/>
        <w:rPr>
          <w:rStyle w:val="Kiemels"/>
          <w:i w:val="0"/>
          <w:sz w:val="22"/>
          <w:szCs w:val="22"/>
          <w:lang w:val="en-GB"/>
        </w:rPr>
      </w:pPr>
      <w:r>
        <w:rPr>
          <w:snapToGrid/>
          <w:sz w:val="22"/>
          <w:szCs w:val="22"/>
          <w:lang w:val="en-GB"/>
        </w:rPr>
        <w:pict w14:anchorId="11F7E59B">
          <v:line id="_x0000_s2053" style="position:absolute;left:0;text-align:left;z-index:251657728" from="1.5pt,35.35pt" to="469.5pt,35.4pt" o:allowincell="f" strokecolor="#d4d4d4" strokeweight="1.75pt">
            <v:shadow on="t" origin=",32385f" offset="0,-1pt"/>
          </v:line>
        </w:pict>
      </w:r>
      <w:r w:rsidR="006D6080" w:rsidRPr="00B33EE6">
        <w:rPr>
          <w:rStyle w:val="Kiemels"/>
          <w:i w:val="0"/>
          <w:sz w:val="22"/>
          <w:szCs w:val="22"/>
          <w:lang w:val="en-GB"/>
        </w:rPr>
        <w:t>Subcontracting is allowed</w:t>
      </w:r>
      <w:r w:rsidR="000C1101" w:rsidRPr="00B33EE6">
        <w:rPr>
          <w:rStyle w:val="Kiemels"/>
          <w:i w:val="0"/>
          <w:sz w:val="22"/>
          <w:szCs w:val="22"/>
          <w:lang w:val="en-GB"/>
        </w:rPr>
        <w:t>.</w:t>
      </w:r>
    </w:p>
    <w:p w14:paraId="3E76976B" w14:textId="25473DDE" w:rsidR="006F5FD0" w:rsidRPr="00B33EE6" w:rsidRDefault="006F5FD0" w:rsidP="00347E84">
      <w:pPr>
        <w:keepNext/>
        <w:jc w:val="center"/>
        <w:rPr>
          <w:sz w:val="28"/>
          <w:szCs w:val="28"/>
          <w:lang w:val="en-GB"/>
        </w:rPr>
      </w:pPr>
      <w:r w:rsidRPr="00B33EE6">
        <w:rPr>
          <w:rStyle w:val="Kiemels2"/>
          <w:sz w:val="28"/>
          <w:szCs w:val="28"/>
          <w:lang w:val="en-GB"/>
        </w:rPr>
        <w:t>PROVISIONAL TIMETABLE</w:t>
      </w:r>
    </w:p>
    <w:p w14:paraId="669BA67B" w14:textId="5628C8CF" w:rsidR="006F5FD0" w:rsidRPr="00371C5B" w:rsidRDefault="006F5FD0" w:rsidP="00371C5B">
      <w:pPr>
        <w:keepNext/>
        <w:widowControl/>
        <w:spacing w:before="240" w:after="120"/>
        <w:ind w:left="426" w:hanging="426"/>
        <w:outlineLvl w:val="0"/>
        <w:rPr>
          <w:rStyle w:val="Kiemels2"/>
        </w:rPr>
      </w:pPr>
      <w:r w:rsidRPr="00B33EE6">
        <w:rPr>
          <w:rStyle w:val="Kiemels2"/>
          <w:sz w:val="22"/>
          <w:szCs w:val="22"/>
          <w:lang w:val="en-GB"/>
        </w:rPr>
        <w:t>1</w:t>
      </w:r>
      <w:r w:rsidR="004563EB">
        <w:rPr>
          <w:rStyle w:val="Kiemels2"/>
          <w:sz w:val="22"/>
          <w:szCs w:val="22"/>
          <w:lang w:val="en-GB"/>
        </w:rPr>
        <w:t>3</w:t>
      </w:r>
      <w:r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Provisional commencement date of the contract</w:t>
      </w:r>
    </w:p>
    <w:p w14:paraId="7C4EA8E0" w14:textId="65B7BB69" w:rsidR="006F5FD0" w:rsidRPr="00B33EE6" w:rsidRDefault="00A2072F" w:rsidP="00371C5B">
      <w:pPr>
        <w:pStyle w:val="Blockquote"/>
        <w:spacing w:before="0" w:after="120"/>
        <w:ind w:left="357" w:right="0"/>
        <w:jc w:val="both"/>
        <w:rPr>
          <w:i/>
          <w:sz w:val="22"/>
          <w:szCs w:val="22"/>
          <w:lang w:val="en-GB"/>
        </w:rPr>
      </w:pPr>
      <w:r w:rsidRPr="00C608A1">
        <w:rPr>
          <w:rStyle w:val="Kiemels"/>
          <w:i w:val="0"/>
          <w:sz w:val="22"/>
          <w:szCs w:val="22"/>
          <w:lang w:val="en-GB"/>
        </w:rPr>
        <w:t>30.05</w:t>
      </w:r>
      <w:r w:rsidR="00663BB9" w:rsidRPr="00C608A1">
        <w:rPr>
          <w:rStyle w:val="Kiemels"/>
          <w:i w:val="0"/>
          <w:sz w:val="22"/>
          <w:szCs w:val="22"/>
          <w:lang w:val="en-GB"/>
        </w:rPr>
        <w:t>.2026.</w:t>
      </w:r>
    </w:p>
    <w:p w14:paraId="70B1A4AA" w14:textId="75AC88E9" w:rsidR="006F5FD0" w:rsidRPr="00371C5B" w:rsidRDefault="005639EC" w:rsidP="00371C5B">
      <w:pPr>
        <w:keepNext/>
        <w:widowControl/>
        <w:spacing w:before="240" w:after="120"/>
        <w:ind w:left="426" w:hanging="426"/>
        <w:outlineLvl w:val="0"/>
        <w:rPr>
          <w:rStyle w:val="Kiemels2"/>
        </w:rPr>
      </w:pPr>
      <w:r w:rsidRPr="00B33EE6">
        <w:rPr>
          <w:rStyle w:val="Kiemels2"/>
          <w:sz w:val="22"/>
          <w:szCs w:val="22"/>
          <w:lang w:val="en-GB"/>
        </w:rPr>
        <w:t>1</w:t>
      </w:r>
      <w:r w:rsidR="004563EB">
        <w:rPr>
          <w:rStyle w:val="Kiemels2"/>
          <w:sz w:val="22"/>
          <w:szCs w:val="22"/>
          <w:lang w:val="en-GB"/>
        </w:rPr>
        <w:t>4</w:t>
      </w:r>
      <w:r w:rsidR="006F5FD0"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Implementation</w:t>
      </w:r>
      <w:r w:rsidR="006F5FD0" w:rsidRPr="00B33EE6">
        <w:rPr>
          <w:rStyle w:val="Kiemels2"/>
          <w:sz w:val="22"/>
          <w:szCs w:val="22"/>
          <w:lang w:val="en-GB"/>
        </w:rPr>
        <w:t xml:space="preserve"> period of </w:t>
      </w:r>
      <w:r w:rsidRPr="00B33EE6">
        <w:rPr>
          <w:rStyle w:val="Kiemels2"/>
          <w:sz w:val="22"/>
          <w:szCs w:val="22"/>
          <w:lang w:val="en-GB"/>
        </w:rPr>
        <w:t>the</w:t>
      </w:r>
      <w:r w:rsidR="00476D80" w:rsidRPr="00B33EE6">
        <w:rPr>
          <w:rStyle w:val="Kiemels2"/>
          <w:sz w:val="22"/>
          <w:szCs w:val="22"/>
          <w:lang w:val="en-GB"/>
        </w:rPr>
        <w:t xml:space="preserve"> tasks </w:t>
      </w:r>
    </w:p>
    <w:p w14:paraId="6A07015F" w14:textId="618CAF7F" w:rsidR="006F5FD0" w:rsidRPr="00B33EE6" w:rsidRDefault="00663BB9" w:rsidP="00371C5B">
      <w:pPr>
        <w:pStyle w:val="Blockquote"/>
        <w:spacing w:before="0" w:after="120"/>
        <w:ind w:left="357" w:right="0"/>
        <w:jc w:val="both"/>
        <w:rPr>
          <w:i/>
          <w:sz w:val="22"/>
          <w:szCs w:val="22"/>
          <w:lang w:val="en-GB"/>
        </w:rPr>
      </w:pPr>
      <w:r w:rsidRPr="001F3B9C">
        <w:rPr>
          <w:rStyle w:val="Kiemels"/>
          <w:i w:val="0"/>
          <w:sz w:val="22"/>
          <w:szCs w:val="22"/>
          <w:lang w:val="en-GB"/>
        </w:rPr>
        <w:t>6 months</w:t>
      </w:r>
    </w:p>
    <w:p w14:paraId="29CC7DD8" w14:textId="77777777" w:rsidR="006F5FD0" w:rsidRPr="00B33EE6" w:rsidRDefault="00780830" w:rsidP="00347E84">
      <w:pPr>
        <w:rPr>
          <w:sz w:val="22"/>
          <w:szCs w:val="22"/>
          <w:lang w:val="en-GB"/>
        </w:rPr>
      </w:pPr>
      <w:r>
        <w:rPr>
          <w:snapToGrid/>
          <w:sz w:val="22"/>
          <w:szCs w:val="22"/>
          <w:lang w:val="en-GB"/>
        </w:rPr>
        <w:pict w14:anchorId="6E3015B7">
          <v:line id="_x0000_s2054" style="position:absolute;z-index:251658752" from="0,18.75pt" to="468pt,18.8pt" o:allowincell="f" strokecolor="#d4d4d4" strokeweight="1.75pt">
            <v:shadow on="t" origin=",32385f" offset="0,-1pt"/>
          </v:line>
        </w:pict>
      </w:r>
    </w:p>
    <w:p w14:paraId="25048343" w14:textId="77777777" w:rsidR="006F5FD0" w:rsidRPr="00B33EE6" w:rsidRDefault="006F5FD0" w:rsidP="00347E84">
      <w:pPr>
        <w:jc w:val="center"/>
        <w:rPr>
          <w:sz w:val="28"/>
          <w:szCs w:val="28"/>
          <w:lang w:val="en-GB"/>
        </w:rPr>
      </w:pPr>
      <w:r w:rsidRPr="00B33EE6">
        <w:rPr>
          <w:rStyle w:val="Kiemels2"/>
          <w:sz w:val="28"/>
          <w:szCs w:val="28"/>
          <w:lang w:val="en-GB"/>
        </w:rPr>
        <w:t>SELECTION AND AWARD CRITERIA</w:t>
      </w:r>
    </w:p>
    <w:p w14:paraId="392C793B" w14:textId="770D3912" w:rsidR="006F5FD0" w:rsidRDefault="005639EC" w:rsidP="00371C5B">
      <w:pPr>
        <w:keepNext/>
        <w:widowControl/>
        <w:spacing w:before="240" w:after="120"/>
        <w:ind w:left="425" w:hanging="425"/>
        <w:outlineLvl w:val="0"/>
        <w:rPr>
          <w:rStyle w:val="Kiemels2"/>
          <w:sz w:val="22"/>
          <w:szCs w:val="22"/>
          <w:lang w:val="en-GB"/>
        </w:rPr>
      </w:pPr>
      <w:r w:rsidRPr="00B33EE6">
        <w:rPr>
          <w:rStyle w:val="Kiemels2"/>
          <w:sz w:val="22"/>
          <w:szCs w:val="22"/>
          <w:lang w:val="en-GB"/>
        </w:rPr>
        <w:t>1</w:t>
      </w:r>
      <w:r w:rsidR="004563EB">
        <w:rPr>
          <w:rStyle w:val="Kiemels2"/>
          <w:sz w:val="22"/>
          <w:szCs w:val="22"/>
          <w:lang w:val="en-GB"/>
        </w:rPr>
        <w:t>5</w:t>
      </w:r>
      <w:r w:rsidR="006F5FD0" w:rsidRPr="00B33EE6">
        <w:rPr>
          <w:rStyle w:val="Kiemels2"/>
          <w:sz w:val="22"/>
          <w:szCs w:val="22"/>
          <w:lang w:val="en-GB"/>
        </w:rPr>
        <w:t xml:space="preserve">. </w:t>
      </w:r>
      <w:r w:rsidR="00584BF4" w:rsidRPr="00B33EE6">
        <w:rPr>
          <w:rStyle w:val="Kiemels2"/>
          <w:sz w:val="22"/>
          <w:szCs w:val="22"/>
          <w:lang w:val="en-GB"/>
        </w:rPr>
        <w:tab/>
      </w:r>
      <w:r w:rsidR="006F5FD0" w:rsidRPr="00B33EE6">
        <w:rPr>
          <w:rStyle w:val="Kiemels2"/>
          <w:sz w:val="22"/>
          <w:szCs w:val="22"/>
          <w:lang w:val="en-GB"/>
        </w:rPr>
        <w:t>Selection criteria</w:t>
      </w:r>
    </w:p>
    <w:p w14:paraId="7CAD1126"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14:paraId="1677E155"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100C3D8B"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410C11" w14:textId="03C063D0" w:rsidR="00831982" w:rsidRPr="00B33EE6" w:rsidRDefault="00831982" w:rsidP="00371C5B">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09857B85"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14:paraId="7E591805" w14:textId="2EE6B645"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53A16187" w14:textId="28D110C5" w:rsidR="006F5FD0" w:rsidRPr="00C608A1" w:rsidRDefault="006F5FD0" w:rsidP="00371C5B">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14:paraId="062C89E1" w14:textId="5D847F01" w:rsidR="00235A71" w:rsidRPr="00A67104" w:rsidRDefault="00C608A1" w:rsidP="00C608A1">
      <w:pPr>
        <w:pStyle w:val="Blockquote"/>
        <w:spacing w:before="0"/>
        <w:ind w:right="0"/>
        <w:jc w:val="both"/>
        <w:rPr>
          <w:sz w:val="22"/>
          <w:szCs w:val="22"/>
          <w:lang w:val="en-GB"/>
        </w:rPr>
      </w:pPr>
      <w:r w:rsidRPr="0067081A">
        <w:rPr>
          <w:sz w:val="22"/>
          <w:szCs w:val="22"/>
          <w:lang w:val="en-GB"/>
        </w:rPr>
        <w:t xml:space="preserve">The tenderer’s average annual turnover of the last 3 financial years for which the accounts have been closed must be </w:t>
      </w:r>
      <w:r w:rsidRPr="0067081A">
        <w:rPr>
          <w:bCs/>
          <w:sz w:val="22"/>
          <w:szCs w:val="22"/>
          <w:lang w:val="en-GB"/>
        </w:rPr>
        <w:t xml:space="preserve">not less than </w:t>
      </w:r>
      <w:r>
        <w:rPr>
          <w:rStyle w:val="rynqvb"/>
          <w:sz w:val="22"/>
          <w:szCs w:val="22"/>
          <w:lang w:val="en"/>
        </w:rPr>
        <w:t xml:space="preserve">the amount given in financial offer </w:t>
      </w:r>
      <w:r w:rsidRPr="00F90FE9">
        <w:rPr>
          <w:rStyle w:val="rynqvb"/>
          <w:sz w:val="22"/>
          <w:szCs w:val="22"/>
          <w:lang w:val="en"/>
        </w:rPr>
        <w:t>for this procurement.</w:t>
      </w:r>
    </w:p>
    <w:p w14:paraId="5D762B00" w14:textId="18164060"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195C8042" w14:textId="77777777" w:rsidR="00BE08EC" w:rsidRDefault="00BE08EC" w:rsidP="00371C5B">
      <w:pPr>
        <w:pStyle w:val="Blockquote"/>
        <w:ind w:left="431" w:right="0" w:hanging="6"/>
        <w:jc w:val="both"/>
        <w:rPr>
          <w:b/>
          <w:bCs/>
          <w:sz w:val="22"/>
          <w:szCs w:val="22"/>
          <w:lang w:val="en-GB"/>
        </w:rPr>
      </w:pPr>
      <w:r w:rsidRPr="00B33EE6">
        <w:rPr>
          <w:sz w:val="22"/>
          <w:szCs w:val="22"/>
          <w:lang w:val="en-GB"/>
        </w:rPr>
        <w:t xml:space="preserve">The reference period which will be taken into account will be </w:t>
      </w:r>
      <w:r w:rsidRPr="00371C5B">
        <w:rPr>
          <w:b/>
          <w:bCs/>
          <w:sz w:val="22"/>
          <w:szCs w:val="22"/>
          <w:lang w:val="en-GB"/>
        </w:rPr>
        <w:t>the last three</w:t>
      </w:r>
      <w:r w:rsidR="00862885" w:rsidRPr="00371C5B">
        <w:rPr>
          <w:b/>
          <w:bCs/>
          <w:sz w:val="22"/>
          <w:szCs w:val="22"/>
          <w:lang w:val="en-GB"/>
        </w:rPr>
        <w:t xml:space="preserve"> years </w:t>
      </w:r>
      <w:r w:rsidR="00771F97" w:rsidRPr="00371C5B">
        <w:rPr>
          <w:b/>
          <w:bCs/>
          <w:sz w:val="22"/>
          <w:szCs w:val="22"/>
          <w:lang w:val="en-GB"/>
        </w:rPr>
        <w:t>preceding the</w:t>
      </w:r>
      <w:r w:rsidRPr="00371C5B">
        <w:rPr>
          <w:b/>
          <w:bCs/>
          <w:sz w:val="22"/>
          <w:szCs w:val="22"/>
          <w:lang w:val="en-GB"/>
        </w:rPr>
        <w:t xml:space="preserve"> submission deadline.</w:t>
      </w:r>
    </w:p>
    <w:p w14:paraId="377424ED" w14:textId="1984CB13" w:rsidR="008E2E1D" w:rsidRPr="00B16E47" w:rsidRDefault="008E2E1D" w:rsidP="008E2E1D">
      <w:pPr>
        <w:pStyle w:val="Blockquote"/>
        <w:numPr>
          <w:ilvl w:val="0"/>
          <w:numId w:val="34"/>
        </w:numPr>
        <w:tabs>
          <w:tab w:val="clear" w:pos="360"/>
        </w:tabs>
        <w:spacing w:before="0" w:after="120" w:line="240" w:lineRule="atLeast"/>
        <w:ind w:left="720" w:right="357"/>
        <w:jc w:val="both"/>
        <w:rPr>
          <w:sz w:val="22"/>
          <w:szCs w:val="22"/>
          <w:lang w:val="en-IE"/>
        </w:rPr>
      </w:pPr>
      <w:r w:rsidRPr="00B16E47">
        <w:rPr>
          <w:b/>
          <w:bCs/>
          <w:sz w:val="22"/>
          <w:szCs w:val="22"/>
          <w:lang w:val="en-IE"/>
        </w:rPr>
        <w:t>Criterion 1:</w:t>
      </w:r>
      <w:r w:rsidRPr="00B16E47">
        <w:rPr>
          <w:sz w:val="22"/>
          <w:szCs w:val="22"/>
          <w:lang w:val="en-IE"/>
        </w:rPr>
        <w:t xml:space="preserve"> </w:t>
      </w:r>
      <w:r w:rsidRPr="00B16E47">
        <w:rPr>
          <w:sz w:val="22"/>
          <w:szCs w:val="22"/>
          <w:lang w:val="en-GB"/>
        </w:rPr>
        <w:t>the candidate or tenderer has, during the current year and the previous tw</w:t>
      </w:r>
      <w:r w:rsidR="0084413D">
        <w:rPr>
          <w:sz w:val="22"/>
          <w:szCs w:val="22"/>
          <w:lang w:val="en-GB"/>
        </w:rPr>
        <w:t>o years, on average, at least: 2</w:t>
      </w:r>
      <w:r w:rsidRPr="00B16E47">
        <w:rPr>
          <w:sz w:val="22"/>
          <w:szCs w:val="22"/>
          <w:lang w:val="en-GB"/>
        </w:rPr>
        <w:t xml:space="preserve"> personnel directly employed or otherwise legally contracted on a permanent or non-permanent basis in</w:t>
      </w:r>
      <w:r w:rsidRPr="00B16E47">
        <w:rPr>
          <w:sz w:val="22"/>
          <w:szCs w:val="22"/>
        </w:rPr>
        <w:t xml:space="preserve"> areas of specialist knowledge related to this contract.</w:t>
      </w:r>
    </w:p>
    <w:p w14:paraId="7DB95FCD" w14:textId="77777777" w:rsidR="008E2E1D" w:rsidRPr="00B16E47" w:rsidRDefault="008E2E1D" w:rsidP="008E2E1D">
      <w:pPr>
        <w:pStyle w:val="Blockquote"/>
        <w:numPr>
          <w:ilvl w:val="0"/>
          <w:numId w:val="34"/>
        </w:numPr>
        <w:tabs>
          <w:tab w:val="clear" w:pos="360"/>
        </w:tabs>
        <w:spacing w:before="0" w:after="120" w:line="240" w:lineRule="atLeast"/>
        <w:ind w:left="720" w:right="357"/>
        <w:jc w:val="both"/>
        <w:rPr>
          <w:color w:val="000000"/>
          <w:sz w:val="22"/>
          <w:szCs w:val="22"/>
          <w:lang w:val="en-GB"/>
        </w:rPr>
      </w:pPr>
      <w:r w:rsidRPr="00B16E47">
        <w:rPr>
          <w:b/>
          <w:bCs/>
          <w:sz w:val="22"/>
          <w:szCs w:val="22"/>
          <w:lang w:val="en-IE"/>
        </w:rPr>
        <w:t xml:space="preserve">Criterion 2: </w:t>
      </w:r>
      <w:r w:rsidRPr="00B16E47">
        <w:rPr>
          <w:sz w:val="22"/>
          <w:szCs w:val="22"/>
          <w:lang w:val="en-GB"/>
        </w:rPr>
        <w:t xml:space="preserve">the candidate or tenderer </w:t>
      </w:r>
      <w:r w:rsidRPr="00B16E47">
        <w:rPr>
          <w:color w:val="000000"/>
          <w:sz w:val="22"/>
          <w:szCs w:val="22"/>
          <w:lang w:val="en-IE"/>
        </w:rPr>
        <w:t xml:space="preserve">is not subject to professional conflicting interests which may negatively affect contract performance. </w:t>
      </w:r>
      <w:r w:rsidRPr="00B16E47">
        <w:rPr>
          <w:sz w:val="22"/>
          <w:szCs w:val="22"/>
          <w:lang w:val="en-GB"/>
        </w:rPr>
        <w:t>The presence of professional conflicting interests shall be examined on the basis of the statements made through the Declarations on Honour and, where applicable, the statements and other documents submitted.</w:t>
      </w:r>
      <w:r w:rsidRPr="00B16E47">
        <w:rPr>
          <w:color w:val="000000"/>
          <w:sz w:val="22"/>
          <w:szCs w:val="22"/>
          <w:lang w:val="en-IE"/>
        </w:rPr>
        <w:t xml:space="preserve"> </w:t>
      </w:r>
    </w:p>
    <w:p w14:paraId="25B1E2C1" w14:textId="77777777" w:rsidR="000739DE" w:rsidRPr="000739DE" w:rsidRDefault="008E2E1D" w:rsidP="000739DE">
      <w:pPr>
        <w:pStyle w:val="Blockquote"/>
        <w:spacing w:before="0" w:after="120" w:line="240" w:lineRule="atLeast"/>
        <w:ind w:left="717" w:right="0"/>
        <w:jc w:val="both"/>
        <w:rPr>
          <w:sz w:val="22"/>
          <w:szCs w:val="22"/>
          <w:lang w:val="en-GB"/>
        </w:rPr>
      </w:pPr>
      <w:r w:rsidRPr="0084413D">
        <w:rPr>
          <w:b/>
          <w:bCs/>
          <w:sz w:val="22"/>
          <w:szCs w:val="22"/>
          <w:lang w:val="en-IE"/>
        </w:rPr>
        <w:t xml:space="preserve">Criterion 3: </w:t>
      </w:r>
      <w:r w:rsidRPr="0084413D">
        <w:rPr>
          <w:sz w:val="22"/>
          <w:szCs w:val="22"/>
          <w:lang w:val="en-IE"/>
        </w:rPr>
        <w:t>The tenderer shall be qualified according to ISO 15614-1, and at least one welder shall be certified according to ISO 9606-1.</w:t>
      </w:r>
    </w:p>
    <w:p w14:paraId="05E75179" w14:textId="2A2E6ED6" w:rsidR="00BE08EC" w:rsidRPr="000739DE" w:rsidRDefault="006F5FD0" w:rsidP="00B16E47">
      <w:pPr>
        <w:pStyle w:val="Blockquote"/>
        <w:numPr>
          <w:ilvl w:val="0"/>
          <w:numId w:val="48"/>
        </w:numPr>
        <w:spacing w:before="0" w:after="120" w:line="240" w:lineRule="atLeast"/>
        <w:ind w:right="0"/>
        <w:jc w:val="both"/>
        <w:rPr>
          <w:sz w:val="22"/>
          <w:szCs w:val="22"/>
          <w:lang w:val="en-GB"/>
        </w:rPr>
      </w:pPr>
      <w:r w:rsidRPr="000739DE">
        <w:rPr>
          <w:b/>
          <w:sz w:val="22"/>
          <w:szCs w:val="22"/>
          <w:u w:val="single"/>
          <w:lang w:val="en-GB"/>
        </w:rPr>
        <w:t xml:space="preserve">Technical capacity of </w:t>
      </w:r>
      <w:r w:rsidR="00C03AF5" w:rsidRPr="000739DE">
        <w:rPr>
          <w:b/>
          <w:sz w:val="22"/>
          <w:szCs w:val="22"/>
          <w:u w:val="single"/>
          <w:lang w:val="en-GB"/>
        </w:rPr>
        <w:t>tenderer</w:t>
      </w:r>
      <w:r w:rsidRPr="000739DE">
        <w:rPr>
          <w:b/>
          <w:sz w:val="22"/>
          <w:szCs w:val="22"/>
          <w:u w:val="single"/>
          <w:lang w:val="en-GB"/>
        </w:rPr>
        <w:t xml:space="preserve"> </w:t>
      </w:r>
      <w:r w:rsidR="00087A72" w:rsidRPr="000739DE">
        <w:rPr>
          <w:sz w:val="22"/>
          <w:szCs w:val="22"/>
          <w:lang w:val="en-GB"/>
        </w:rPr>
        <w:t>(</w:t>
      </w:r>
      <w:r w:rsidRPr="000739DE">
        <w:rPr>
          <w:sz w:val="22"/>
          <w:szCs w:val="22"/>
          <w:lang w:val="en-GB"/>
        </w:rPr>
        <w:t xml:space="preserve">based on items 6 of the </w:t>
      </w:r>
      <w:r w:rsidR="00994EA3" w:rsidRPr="000739DE">
        <w:rPr>
          <w:sz w:val="22"/>
          <w:szCs w:val="22"/>
          <w:lang w:val="en-GB"/>
        </w:rPr>
        <w:t>tender</w:t>
      </w:r>
      <w:r w:rsidRPr="000739DE">
        <w:rPr>
          <w:sz w:val="22"/>
          <w:szCs w:val="22"/>
          <w:lang w:val="en-GB"/>
        </w:rPr>
        <w:t xml:space="preserve"> form</w:t>
      </w:r>
      <w:r w:rsidR="00087A72" w:rsidRPr="000739DE">
        <w:rPr>
          <w:sz w:val="22"/>
          <w:szCs w:val="22"/>
          <w:lang w:val="en-GB"/>
        </w:rPr>
        <w:t>)</w:t>
      </w:r>
      <w:r w:rsidR="00BE08EC" w:rsidRPr="000739DE">
        <w:rPr>
          <w:sz w:val="22"/>
          <w:szCs w:val="22"/>
          <w:lang w:val="en-GB"/>
        </w:rPr>
        <w:t xml:space="preserve">. The reference period which will be taken into account will be the last </w:t>
      </w:r>
      <w:r w:rsidR="0084413D">
        <w:rPr>
          <w:sz w:val="22"/>
          <w:szCs w:val="22"/>
          <w:lang w:val="en-GB"/>
        </w:rPr>
        <w:t>three</w:t>
      </w:r>
      <w:r w:rsidR="00B16E47" w:rsidRPr="00B16E47">
        <w:rPr>
          <w:sz w:val="22"/>
          <w:szCs w:val="22"/>
          <w:lang w:val="en-GB"/>
        </w:rPr>
        <w:t xml:space="preserve"> </w:t>
      </w:r>
      <w:r w:rsidR="00862885" w:rsidRPr="0084413D">
        <w:rPr>
          <w:sz w:val="22"/>
          <w:szCs w:val="22"/>
          <w:lang w:val="en-GB"/>
        </w:rPr>
        <w:t>years</w:t>
      </w:r>
      <w:r w:rsidR="00862885" w:rsidRPr="000739DE">
        <w:rPr>
          <w:sz w:val="22"/>
          <w:szCs w:val="22"/>
          <w:lang w:val="en-GB"/>
        </w:rPr>
        <w:t xml:space="preserve"> </w:t>
      </w:r>
      <w:r w:rsidR="00771F97" w:rsidRPr="000739DE">
        <w:rPr>
          <w:sz w:val="22"/>
          <w:szCs w:val="22"/>
          <w:lang w:val="en-GB"/>
        </w:rPr>
        <w:t>preceding the</w:t>
      </w:r>
      <w:r w:rsidR="00BE08EC" w:rsidRPr="000739DE">
        <w:rPr>
          <w:sz w:val="22"/>
          <w:szCs w:val="22"/>
          <w:lang w:val="en-GB"/>
        </w:rPr>
        <w:t xml:space="preserve"> submission deadline.</w:t>
      </w:r>
    </w:p>
    <w:p w14:paraId="507D4857" w14:textId="7B7F76A4" w:rsidR="0084413D" w:rsidRPr="0084413D" w:rsidRDefault="00B53C08" w:rsidP="0084413D">
      <w:pPr>
        <w:pStyle w:val="Blockquote"/>
        <w:tabs>
          <w:tab w:val="left" w:pos="284"/>
        </w:tabs>
        <w:spacing w:before="0" w:after="120" w:line="240" w:lineRule="atLeast"/>
        <w:ind w:left="717" w:right="26"/>
        <w:jc w:val="both"/>
        <w:rPr>
          <w:b/>
          <w:sz w:val="22"/>
          <w:szCs w:val="22"/>
          <w:lang w:val="en-GB"/>
        </w:rPr>
      </w:pPr>
      <w:r w:rsidRPr="000739DE">
        <w:rPr>
          <w:b/>
          <w:sz w:val="22"/>
          <w:szCs w:val="22"/>
          <w:lang w:val="en-GB"/>
        </w:rPr>
        <w:t xml:space="preserve">Criterion: </w:t>
      </w:r>
    </w:p>
    <w:p w14:paraId="6745F030" w14:textId="530F13A9" w:rsidR="0084413D" w:rsidRPr="0084413D" w:rsidRDefault="0084413D" w:rsidP="0084413D">
      <w:pPr>
        <w:pStyle w:val="Blockquote"/>
        <w:numPr>
          <w:ilvl w:val="0"/>
          <w:numId w:val="47"/>
        </w:numPr>
        <w:tabs>
          <w:tab w:val="left" w:pos="993"/>
        </w:tabs>
        <w:spacing w:before="0" w:after="120" w:line="240" w:lineRule="atLeast"/>
        <w:ind w:left="993" w:right="26" w:hanging="284"/>
        <w:jc w:val="both"/>
        <w:rPr>
          <w:sz w:val="20"/>
          <w:szCs w:val="22"/>
          <w:lang w:val="en-GB"/>
        </w:rPr>
      </w:pPr>
      <w:r w:rsidRPr="0084413D">
        <w:rPr>
          <w:sz w:val="22"/>
        </w:rPr>
        <w:t xml:space="preserve">The tenderer has delivered supplies of a similar nature with a total value of at </w:t>
      </w:r>
      <w:r w:rsidR="009631BE" w:rsidRPr="009631BE">
        <w:rPr>
          <w:sz w:val="22"/>
        </w:rPr>
        <w:t>least EUR 14</w:t>
      </w:r>
      <w:r w:rsidRPr="009631BE">
        <w:rPr>
          <w:sz w:val="22"/>
        </w:rPr>
        <w:t xml:space="preserve">0,000. This amount may </w:t>
      </w:r>
      <w:r w:rsidR="009631BE" w:rsidRPr="009631BE">
        <w:rPr>
          <w:sz w:val="22"/>
        </w:rPr>
        <w:t>be cumulated from a maximum of 2</w:t>
      </w:r>
      <w:r w:rsidRPr="009631BE">
        <w:rPr>
          <w:sz w:val="22"/>
        </w:rPr>
        <w:t xml:space="preserve"> contracts,</w:t>
      </w:r>
      <w:r w:rsidRPr="0084413D">
        <w:rPr>
          <w:sz w:val="22"/>
        </w:rPr>
        <w:t xml:space="preserve"> which have been completed during the three years preceding the submission deadline.</w:t>
      </w:r>
    </w:p>
    <w:p w14:paraId="67053663" w14:textId="195064A7" w:rsidR="00CB2A5B" w:rsidRDefault="00CB2A5B" w:rsidP="008E2E1D">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002065E9" w:rsidRPr="00CB2A5B" w:rsidDel="002065E9">
        <w:rPr>
          <w:sz w:val="22"/>
          <w:szCs w:val="22"/>
          <w:lang w:val="en-GB"/>
        </w:rPr>
        <w:t xml:space="preserve"> </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Pr>
          <w:sz w:val="22"/>
          <w:szCs w:val="22"/>
          <w:lang w:val="en-GB"/>
        </w:rPr>
        <w:t xml:space="preserve"> </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14:paraId="36FE5E2E" w14:textId="76250C06" w:rsidR="006F5FD0" w:rsidRPr="00371C5B" w:rsidRDefault="00994EA3" w:rsidP="00371C5B">
      <w:pPr>
        <w:keepNext/>
        <w:widowControl/>
        <w:spacing w:before="240" w:after="120"/>
        <w:ind w:left="426" w:hanging="426"/>
        <w:outlineLvl w:val="0"/>
        <w:rPr>
          <w:rStyle w:val="Kiemels2"/>
        </w:rPr>
      </w:pPr>
      <w:r w:rsidRPr="00B33EE6">
        <w:rPr>
          <w:rStyle w:val="Kiemels2"/>
          <w:sz w:val="22"/>
          <w:szCs w:val="22"/>
          <w:lang w:val="en-GB"/>
        </w:rPr>
        <w:t>1</w:t>
      </w:r>
      <w:r w:rsidR="0090581D">
        <w:rPr>
          <w:rStyle w:val="Kiemels2"/>
          <w:sz w:val="22"/>
          <w:szCs w:val="22"/>
          <w:lang w:val="en-GB"/>
        </w:rPr>
        <w:t>6</w:t>
      </w:r>
      <w:r w:rsidR="006F5FD0" w:rsidRPr="00B33EE6">
        <w:rPr>
          <w:rStyle w:val="Kiemels2"/>
          <w:sz w:val="22"/>
          <w:szCs w:val="22"/>
          <w:lang w:val="en-GB"/>
        </w:rPr>
        <w:t xml:space="preserve">. </w:t>
      </w:r>
      <w:r w:rsidR="00584BF4" w:rsidRPr="00B33EE6">
        <w:rPr>
          <w:rStyle w:val="Kiemels2"/>
          <w:sz w:val="22"/>
          <w:szCs w:val="22"/>
          <w:lang w:val="en-GB"/>
        </w:rPr>
        <w:tab/>
      </w:r>
      <w:r w:rsidR="006F5FD0" w:rsidRPr="00B33EE6">
        <w:rPr>
          <w:rStyle w:val="Kiemels2"/>
          <w:sz w:val="22"/>
          <w:szCs w:val="22"/>
          <w:lang w:val="en-GB"/>
        </w:rPr>
        <w:t>Award criteria</w:t>
      </w:r>
    </w:p>
    <w:p w14:paraId="576FDB42" w14:textId="513B496B" w:rsidR="006F5FD0" w:rsidRPr="00B33EE6" w:rsidRDefault="00B16E47" w:rsidP="00371C5B">
      <w:pPr>
        <w:pStyle w:val="Blockquote"/>
        <w:spacing w:before="0"/>
        <w:ind w:left="425" w:right="0"/>
        <w:jc w:val="both"/>
        <w:rPr>
          <w:sz w:val="22"/>
          <w:szCs w:val="22"/>
          <w:lang w:val="en-GB"/>
        </w:rPr>
      </w:pPr>
      <w:r>
        <w:rPr>
          <w:sz w:val="22"/>
          <w:szCs w:val="22"/>
          <w:lang w:val="en-GB"/>
        </w:rPr>
        <w:t xml:space="preserve">Price. </w:t>
      </w:r>
    </w:p>
    <w:p w14:paraId="793B56EE" w14:textId="77777777" w:rsidR="006F5FD0" w:rsidRPr="00B33EE6" w:rsidRDefault="00780830" w:rsidP="00347E84">
      <w:pPr>
        <w:rPr>
          <w:sz w:val="22"/>
          <w:szCs w:val="22"/>
          <w:lang w:val="en-GB"/>
        </w:rPr>
      </w:pPr>
      <w:r>
        <w:rPr>
          <w:snapToGrid/>
          <w:sz w:val="22"/>
          <w:szCs w:val="22"/>
          <w:lang w:val="en-GB"/>
        </w:rPr>
        <w:pict w14:anchorId="45BE0657">
          <v:line id="_x0000_s2055" style="position:absolute;z-index:251659776" from="0,12pt" to="468pt,12.05pt" o:allowincell="f" strokecolor="#d4d4d4" strokeweight="1.75pt">
            <v:shadow on="t" origin=",32385f" offset="0,-1pt"/>
          </v:line>
        </w:pict>
      </w:r>
    </w:p>
    <w:p w14:paraId="7482CE23" w14:textId="77777777" w:rsidR="006F5FD0" w:rsidRPr="00B33EE6" w:rsidRDefault="00994EA3" w:rsidP="00347E84">
      <w:pPr>
        <w:keepNext/>
        <w:jc w:val="center"/>
        <w:rPr>
          <w:sz w:val="28"/>
          <w:szCs w:val="28"/>
          <w:lang w:val="en-GB"/>
        </w:rPr>
      </w:pPr>
      <w:r w:rsidRPr="00B33EE6">
        <w:rPr>
          <w:rStyle w:val="Kiemels2"/>
          <w:sz w:val="28"/>
          <w:szCs w:val="28"/>
          <w:lang w:val="en-GB"/>
        </w:rPr>
        <w:t>TENDERING</w:t>
      </w:r>
    </w:p>
    <w:p w14:paraId="592B0149" w14:textId="212E2889" w:rsidR="006F5FD0" w:rsidRPr="00371C5B" w:rsidRDefault="00994EA3" w:rsidP="00371C5B">
      <w:pPr>
        <w:keepNext/>
        <w:widowControl/>
        <w:spacing w:before="240" w:after="120"/>
        <w:ind w:left="426" w:hanging="426"/>
        <w:outlineLvl w:val="0"/>
        <w:rPr>
          <w:rStyle w:val="Kiemels2"/>
        </w:rPr>
      </w:pPr>
      <w:r w:rsidRPr="00B33EE6">
        <w:rPr>
          <w:rStyle w:val="Kiemels2"/>
          <w:sz w:val="22"/>
          <w:szCs w:val="22"/>
          <w:lang w:val="en-GB"/>
        </w:rPr>
        <w:t>1</w:t>
      </w:r>
      <w:r w:rsidR="00033EFD">
        <w:rPr>
          <w:rStyle w:val="Kiemels2"/>
          <w:sz w:val="22"/>
          <w:szCs w:val="22"/>
          <w:lang w:val="en-GB"/>
        </w:rPr>
        <w:t>7</w:t>
      </w:r>
      <w:r w:rsidR="006F5FD0" w:rsidRPr="00B33EE6">
        <w:rPr>
          <w:rStyle w:val="Kiemels2"/>
          <w:sz w:val="22"/>
          <w:szCs w:val="22"/>
          <w:lang w:val="en-GB"/>
        </w:rPr>
        <w:t xml:space="preserve">. </w:t>
      </w:r>
      <w:r w:rsidR="00584BF4" w:rsidRPr="00B33EE6">
        <w:rPr>
          <w:rStyle w:val="Kiemels2"/>
          <w:sz w:val="22"/>
          <w:szCs w:val="22"/>
          <w:lang w:val="en-GB"/>
        </w:rPr>
        <w:tab/>
      </w:r>
      <w:r w:rsidR="006F5FD0" w:rsidRPr="00B33EE6">
        <w:rPr>
          <w:rStyle w:val="Kiemels2"/>
          <w:sz w:val="22"/>
          <w:szCs w:val="22"/>
          <w:lang w:val="en-GB"/>
        </w:rPr>
        <w:t xml:space="preserve">Deadline for </w:t>
      </w:r>
      <w:r w:rsidR="0013314C">
        <w:rPr>
          <w:rStyle w:val="Kiemels2"/>
          <w:sz w:val="22"/>
          <w:szCs w:val="22"/>
          <w:lang w:val="en-GB"/>
        </w:rPr>
        <w:t xml:space="preserve">submission </w:t>
      </w:r>
      <w:r w:rsidR="006F5FD0" w:rsidRPr="00B33EE6">
        <w:rPr>
          <w:rStyle w:val="Kiemels2"/>
          <w:sz w:val="22"/>
          <w:szCs w:val="22"/>
          <w:lang w:val="en-GB"/>
        </w:rPr>
        <w:t xml:space="preserve">of </w:t>
      </w:r>
      <w:r w:rsidRPr="00B33EE6">
        <w:rPr>
          <w:rStyle w:val="Kiemels2"/>
          <w:sz w:val="22"/>
          <w:szCs w:val="22"/>
          <w:lang w:val="en-GB"/>
        </w:rPr>
        <w:t>tenders</w:t>
      </w:r>
    </w:p>
    <w:p w14:paraId="61DD2F00" w14:textId="41770117" w:rsidR="006F5FD0" w:rsidRPr="00B33EE6" w:rsidRDefault="00994EA3" w:rsidP="00371C5B">
      <w:pPr>
        <w:pStyle w:val="Blockquote"/>
        <w:spacing w:before="40" w:after="60"/>
        <w:ind w:left="425" w:right="0"/>
        <w:jc w:val="both"/>
        <w:rPr>
          <w:i/>
          <w:sz w:val="22"/>
          <w:szCs w:val="22"/>
          <w:lang w:val="en-GB"/>
        </w:rPr>
      </w:pPr>
      <w:r w:rsidRPr="00B33EE6">
        <w:rPr>
          <w:rStyle w:val="Kiemels"/>
          <w:i w:val="0"/>
          <w:sz w:val="22"/>
          <w:szCs w:val="22"/>
          <w:lang w:val="en-GB"/>
        </w:rPr>
        <w:t xml:space="preserve">The deadline for </w:t>
      </w:r>
      <w:r w:rsidR="0013314C">
        <w:rPr>
          <w:rStyle w:val="Kiemels"/>
          <w:i w:val="0"/>
          <w:sz w:val="22"/>
          <w:szCs w:val="22"/>
          <w:lang w:val="en-GB"/>
        </w:rPr>
        <w:t xml:space="preserve">submission </w:t>
      </w:r>
      <w:r w:rsidRPr="00B33EE6">
        <w:rPr>
          <w:rStyle w:val="Kiemels"/>
          <w:i w:val="0"/>
          <w:sz w:val="22"/>
          <w:szCs w:val="22"/>
          <w:lang w:val="en-GB"/>
        </w:rPr>
        <w:t xml:space="preserve">of tenders is </w:t>
      </w:r>
      <w:r w:rsidR="00A2072F" w:rsidRPr="00780830">
        <w:rPr>
          <w:rStyle w:val="Kiemels"/>
          <w:i w:val="0"/>
          <w:sz w:val="22"/>
          <w:szCs w:val="22"/>
          <w:lang w:val="en-GB"/>
        </w:rPr>
        <w:t>19.05.2026. 12</w:t>
      </w:r>
      <w:r w:rsidR="004A35F6" w:rsidRPr="00780830">
        <w:rPr>
          <w:rStyle w:val="Kiemels"/>
          <w:i w:val="0"/>
          <w:sz w:val="22"/>
          <w:szCs w:val="22"/>
          <w:lang w:val="en-GB"/>
        </w:rPr>
        <w:t>:00</w:t>
      </w:r>
    </w:p>
    <w:p w14:paraId="7D60F8E6" w14:textId="62D49E53" w:rsidR="006F5FD0" w:rsidRPr="00371C5B" w:rsidRDefault="00994EA3" w:rsidP="00371C5B">
      <w:pPr>
        <w:keepNext/>
        <w:widowControl/>
        <w:spacing w:before="240" w:after="120"/>
        <w:ind w:left="426" w:hanging="426"/>
        <w:outlineLvl w:val="0"/>
        <w:rPr>
          <w:rStyle w:val="Kiemels2"/>
        </w:rPr>
      </w:pPr>
      <w:r w:rsidRPr="00B33EE6">
        <w:rPr>
          <w:rStyle w:val="Kiemels2"/>
          <w:sz w:val="22"/>
          <w:szCs w:val="22"/>
          <w:lang w:val="en-GB"/>
        </w:rPr>
        <w:t>1</w:t>
      </w:r>
      <w:r w:rsidR="00033EFD">
        <w:rPr>
          <w:rStyle w:val="Kiemels2"/>
          <w:sz w:val="22"/>
          <w:szCs w:val="22"/>
          <w:lang w:val="en-GB"/>
        </w:rPr>
        <w:t>8</w:t>
      </w:r>
      <w:r w:rsidR="006F5FD0" w:rsidRPr="00B33EE6">
        <w:rPr>
          <w:rStyle w:val="Kiemels2"/>
          <w:sz w:val="22"/>
          <w:szCs w:val="22"/>
          <w:lang w:val="en-GB"/>
        </w:rPr>
        <w:t xml:space="preserve">. </w:t>
      </w:r>
      <w:r w:rsidR="00584BF4" w:rsidRPr="00B33EE6">
        <w:rPr>
          <w:rStyle w:val="Kiemels2"/>
          <w:sz w:val="22"/>
          <w:szCs w:val="22"/>
          <w:lang w:val="en-GB"/>
        </w:rPr>
        <w:tab/>
      </w:r>
      <w:r w:rsidRPr="00B33EE6">
        <w:rPr>
          <w:rStyle w:val="Kiemels2"/>
          <w:sz w:val="22"/>
          <w:szCs w:val="22"/>
          <w:lang w:val="en-GB"/>
        </w:rPr>
        <w:t xml:space="preserve">Tender </w:t>
      </w:r>
      <w:r w:rsidR="006F5FD0" w:rsidRPr="00B33EE6">
        <w:rPr>
          <w:rStyle w:val="Kiemels2"/>
          <w:sz w:val="22"/>
          <w:szCs w:val="22"/>
          <w:lang w:val="en-GB"/>
        </w:rPr>
        <w:t>format and details to be provided</w:t>
      </w:r>
    </w:p>
    <w:p w14:paraId="0C3990F6" w14:textId="7F402B76" w:rsidR="006F5FD0" w:rsidRPr="00B33EE6" w:rsidRDefault="00994EA3" w:rsidP="00371C5B">
      <w:pPr>
        <w:pStyle w:val="Blockquote"/>
        <w:spacing w:before="40" w:after="60"/>
        <w:ind w:left="425" w:right="0"/>
        <w:jc w:val="both"/>
        <w:rPr>
          <w:sz w:val="22"/>
          <w:szCs w:val="22"/>
          <w:lang w:val="en-GB"/>
        </w:rPr>
      </w:pPr>
      <w:r w:rsidRPr="00B33EE6">
        <w:rPr>
          <w:rStyle w:val="Kiemels2"/>
          <w:b w:val="0"/>
          <w:sz w:val="22"/>
          <w:szCs w:val="22"/>
          <w:lang w:val="en-GB"/>
        </w:rPr>
        <w:t>Tenders</w:t>
      </w:r>
      <w:r w:rsidR="006F5FD0" w:rsidRPr="00B33EE6">
        <w:rPr>
          <w:rStyle w:val="Kiemels2"/>
          <w:b w:val="0"/>
          <w:sz w:val="22"/>
          <w:szCs w:val="22"/>
          <w:lang w:val="en-GB"/>
        </w:rPr>
        <w:t xml:space="preserve"> must be submitted using the standard </w:t>
      </w:r>
      <w:r w:rsidRPr="00B33EE6">
        <w:rPr>
          <w:rStyle w:val="Kiemels2"/>
          <w:b w:val="0"/>
          <w:sz w:val="22"/>
          <w:szCs w:val="22"/>
          <w:lang w:val="en-GB"/>
        </w:rPr>
        <w:t>tender</w:t>
      </w:r>
      <w:r w:rsidR="006F5FD0" w:rsidRPr="00B33EE6">
        <w:rPr>
          <w:rStyle w:val="Kiemels2"/>
          <w:b w:val="0"/>
          <w:sz w:val="22"/>
          <w:szCs w:val="22"/>
          <w:lang w:val="en-GB"/>
        </w:rPr>
        <w:t xml:space="preserve"> form</w:t>
      </w:r>
      <w:r w:rsidR="00771F85">
        <w:rPr>
          <w:rStyle w:val="Kiemels2"/>
          <w:b w:val="0"/>
          <w:sz w:val="22"/>
          <w:szCs w:val="22"/>
          <w:lang w:val="en-GB"/>
        </w:rPr>
        <w:t>.</w:t>
      </w:r>
      <w:r w:rsidR="006F5FD0" w:rsidRPr="00B33EE6">
        <w:rPr>
          <w:sz w:val="22"/>
          <w:szCs w:val="22"/>
          <w:lang w:val="en-GB"/>
        </w:rPr>
        <w:t xml:space="preserve"> </w:t>
      </w:r>
    </w:p>
    <w:p w14:paraId="177AD528" w14:textId="77777777"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CACE45" w:rsidR="004D5EDB" w:rsidRPr="00886ED7" w:rsidRDefault="00780830" w:rsidP="00371C5B">
      <w:pPr>
        <w:pStyle w:val="Blockquote"/>
        <w:ind w:left="425" w:right="0"/>
        <w:jc w:val="both"/>
        <w:rPr>
          <w:sz w:val="22"/>
          <w:szCs w:val="22"/>
          <w:lang w:val="en-GB"/>
        </w:rPr>
      </w:pPr>
      <w:hyperlink r:id="rId8" w:anchor="Annexes-AnnexesA(Ch.2):General" w:history="1">
        <w:r w:rsidR="00886ED7" w:rsidRPr="002E25ED">
          <w:rPr>
            <w:rStyle w:val="Hiperhivatkozs"/>
            <w:sz w:val="22"/>
            <w:szCs w:val="22"/>
            <w:lang w:val="en-GB"/>
          </w:rPr>
          <w:t>https://wikis.ec.europa.eu/display/ExactExternalWiki/Annexes#Annexes-AnnexesA(Ch.2):General</w:t>
        </w:r>
      </w:hyperlink>
    </w:p>
    <w:p w14:paraId="438E0786" w14:textId="77777777"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40FAD56E" w:rsidR="006F5FD0" w:rsidRPr="00371C5B" w:rsidRDefault="00033EFD" w:rsidP="00371C5B">
      <w:pPr>
        <w:keepNext/>
        <w:widowControl/>
        <w:spacing w:before="240" w:after="120"/>
        <w:ind w:left="426" w:hanging="426"/>
        <w:outlineLvl w:val="0"/>
        <w:rPr>
          <w:rStyle w:val="Kiemels2"/>
        </w:rPr>
      </w:pPr>
      <w:r>
        <w:rPr>
          <w:rStyle w:val="Kiemels2"/>
          <w:sz w:val="22"/>
          <w:szCs w:val="22"/>
          <w:lang w:val="en-GB"/>
        </w:rPr>
        <w:t>19</w:t>
      </w:r>
      <w:r w:rsidR="006F5FD0" w:rsidRPr="00B33EE6">
        <w:rPr>
          <w:rStyle w:val="Kiemels2"/>
          <w:sz w:val="22"/>
          <w:szCs w:val="22"/>
          <w:lang w:val="en-GB"/>
        </w:rPr>
        <w:t xml:space="preserve">. </w:t>
      </w:r>
      <w:r w:rsidR="00584BF4" w:rsidRPr="00B33EE6">
        <w:rPr>
          <w:rStyle w:val="Kiemels2"/>
          <w:sz w:val="22"/>
          <w:szCs w:val="22"/>
          <w:lang w:val="en-GB"/>
        </w:rPr>
        <w:tab/>
      </w:r>
      <w:r w:rsidR="006F5FD0" w:rsidRPr="00B33EE6">
        <w:rPr>
          <w:rStyle w:val="Kiemels2"/>
          <w:sz w:val="22"/>
          <w:szCs w:val="22"/>
          <w:lang w:val="en-GB"/>
        </w:rPr>
        <w:t xml:space="preserve">How </w:t>
      </w:r>
      <w:r w:rsidR="006714ED" w:rsidRPr="00B33EE6">
        <w:rPr>
          <w:rStyle w:val="Kiemels2"/>
          <w:sz w:val="22"/>
          <w:szCs w:val="22"/>
          <w:lang w:val="en-GB"/>
        </w:rPr>
        <w:t>tenders</w:t>
      </w:r>
      <w:r w:rsidR="006F5FD0" w:rsidRPr="00B33EE6">
        <w:rPr>
          <w:rStyle w:val="Kiemels2"/>
          <w:sz w:val="22"/>
          <w:szCs w:val="22"/>
          <w:lang w:val="en-GB"/>
        </w:rPr>
        <w:t xml:space="preserve"> may be submitted</w:t>
      </w:r>
    </w:p>
    <w:p w14:paraId="7919897A" w14:textId="6CB53E63"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14:paraId="63BBF791" w14:textId="77777777" w:rsidR="00EF03C9" w:rsidRPr="00B33EE6" w:rsidRDefault="006714ED" w:rsidP="00371C5B">
      <w:pPr>
        <w:pStyle w:val="Blockquote"/>
        <w:spacing w:before="0" w:after="120"/>
        <w:ind w:left="425" w:right="0"/>
        <w:jc w:val="both"/>
        <w:rPr>
          <w:rStyle w:val="Kiemels2"/>
          <w:b w:val="0"/>
          <w:sz w:val="22"/>
          <w:szCs w:val="22"/>
          <w:lang w:val="en-GB"/>
        </w:rPr>
      </w:pPr>
      <w:r w:rsidRPr="00B33EE6">
        <w:rPr>
          <w:rStyle w:val="Kiemels2"/>
          <w:b w:val="0"/>
          <w:sz w:val="22"/>
          <w:szCs w:val="22"/>
          <w:lang w:val="en-GB"/>
        </w:rPr>
        <w:t>Tenders</w:t>
      </w:r>
      <w:r w:rsidR="006F5FD0" w:rsidRPr="00B33EE6">
        <w:rPr>
          <w:rStyle w:val="Kiemels2"/>
          <w:b w:val="0"/>
          <w:sz w:val="22"/>
          <w:szCs w:val="22"/>
          <w:lang w:val="en-GB"/>
        </w:rPr>
        <w:t xml:space="preserve"> submitted by any other means will not be considered.</w:t>
      </w:r>
    </w:p>
    <w:p w14:paraId="3D156565" w14:textId="2CED2608" w:rsidR="00502BBF" w:rsidRPr="00B33EE6" w:rsidRDefault="00502BBF" w:rsidP="00371C5B">
      <w:pPr>
        <w:pStyle w:val="Blockquote"/>
        <w:spacing w:before="40" w:after="120"/>
        <w:ind w:left="425" w:right="0"/>
        <w:jc w:val="both"/>
        <w:rPr>
          <w:rStyle w:val="Kiemels2"/>
          <w:b w:val="0"/>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14:paraId="78DFA6DC" w14:textId="002747CA" w:rsidR="003262FC" w:rsidRPr="00371C5B" w:rsidRDefault="003262FC" w:rsidP="00371C5B">
      <w:pPr>
        <w:keepNext/>
        <w:widowControl/>
        <w:spacing w:before="240" w:after="120"/>
        <w:ind w:left="426" w:hanging="426"/>
        <w:outlineLvl w:val="0"/>
        <w:rPr>
          <w:rStyle w:val="Kiemels2"/>
        </w:rPr>
      </w:pPr>
      <w:r w:rsidRPr="00B33EE6">
        <w:rPr>
          <w:rStyle w:val="Kiemels2"/>
          <w:sz w:val="22"/>
          <w:szCs w:val="22"/>
          <w:lang w:val="en-GB"/>
        </w:rPr>
        <w:t>2</w:t>
      </w:r>
      <w:r w:rsidR="00033EFD">
        <w:rPr>
          <w:rStyle w:val="Kiemels2"/>
          <w:sz w:val="22"/>
          <w:szCs w:val="22"/>
          <w:lang w:val="en-GB"/>
        </w:rPr>
        <w:t>0</w:t>
      </w:r>
      <w:r w:rsidRPr="00B33EE6">
        <w:rPr>
          <w:rStyle w:val="Kiemels2"/>
          <w:sz w:val="22"/>
          <w:szCs w:val="22"/>
          <w:lang w:val="en-GB"/>
        </w:rPr>
        <w:t>.</w:t>
      </w:r>
      <w:r w:rsidR="00584BF4" w:rsidRPr="00B33EE6">
        <w:rPr>
          <w:rStyle w:val="Kiemels2"/>
          <w:sz w:val="22"/>
          <w:szCs w:val="22"/>
          <w:lang w:val="en-GB"/>
        </w:rPr>
        <w:tab/>
      </w:r>
      <w:r w:rsidRPr="00B33EE6">
        <w:rPr>
          <w:rStyle w:val="Kiemels2"/>
          <w:sz w:val="22"/>
          <w:szCs w:val="22"/>
          <w:lang w:val="en-GB"/>
        </w:rPr>
        <w:t xml:space="preserve">Alteration or withdrawal of </w:t>
      </w:r>
      <w:r w:rsidR="006714ED" w:rsidRPr="00B33EE6">
        <w:rPr>
          <w:rStyle w:val="Kiemels2"/>
          <w:sz w:val="22"/>
          <w:szCs w:val="22"/>
          <w:lang w:val="en-GB"/>
        </w:rPr>
        <w:t>tenders</w:t>
      </w:r>
    </w:p>
    <w:p w14:paraId="37113797" w14:textId="77777777"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36DD3BEA"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DF9D28B" w:rsidR="006F5FD0" w:rsidRPr="00371C5B" w:rsidRDefault="003262FC" w:rsidP="00371C5B">
      <w:pPr>
        <w:keepNext/>
        <w:widowControl/>
        <w:spacing w:before="240" w:after="120"/>
        <w:ind w:left="426" w:hanging="426"/>
        <w:outlineLvl w:val="0"/>
        <w:rPr>
          <w:rStyle w:val="Kiemels2"/>
        </w:rPr>
      </w:pPr>
      <w:r w:rsidRPr="00B33EE6">
        <w:rPr>
          <w:rStyle w:val="Kiemels2"/>
          <w:sz w:val="22"/>
          <w:szCs w:val="22"/>
          <w:lang w:val="en-GB"/>
        </w:rPr>
        <w:t>2</w:t>
      </w:r>
      <w:r w:rsidR="00033EFD">
        <w:rPr>
          <w:rStyle w:val="Kiemels2"/>
          <w:sz w:val="22"/>
          <w:szCs w:val="22"/>
          <w:lang w:val="en-GB"/>
        </w:rPr>
        <w:t>1</w:t>
      </w:r>
      <w:r w:rsidR="006F5FD0" w:rsidRPr="00B33EE6">
        <w:rPr>
          <w:rStyle w:val="Kiemels2"/>
          <w:sz w:val="22"/>
          <w:szCs w:val="22"/>
          <w:lang w:val="en-GB"/>
        </w:rPr>
        <w:t xml:space="preserve">. </w:t>
      </w:r>
      <w:r w:rsidR="00584BF4" w:rsidRPr="00B33EE6">
        <w:rPr>
          <w:rStyle w:val="Kiemels2"/>
          <w:sz w:val="22"/>
          <w:szCs w:val="22"/>
          <w:lang w:val="en-GB"/>
        </w:rPr>
        <w:tab/>
      </w:r>
      <w:r w:rsidR="006F5FD0" w:rsidRPr="00B33EE6">
        <w:rPr>
          <w:rStyle w:val="Kiemels2"/>
          <w:sz w:val="22"/>
          <w:szCs w:val="22"/>
          <w:lang w:val="en-GB"/>
        </w:rPr>
        <w:t>Operational language</w:t>
      </w:r>
    </w:p>
    <w:p w14:paraId="231E3CC8" w14:textId="77777777" w:rsidR="006F5FD0" w:rsidRPr="00B33EE6" w:rsidRDefault="006F5FD0" w:rsidP="00371C5B">
      <w:pPr>
        <w:pStyle w:val="Blockquote"/>
        <w:spacing w:before="40" w:after="120"/>
        <w:ind w:left="425" w:right="0"/>
        <w:jc w:val="both"/>
        <w:rPr>
          <w:i/>
          <w:sz w:val="22"/>
          <w:szCs w:val="22"/>
          <w:lang w:val="en-GB"/>
        </w:rPr>
      </w:pPr>
      <w:r w:rsidRPr="00B33EE6">
        <w:rPr>
          <w:rStyle w:val="Kiemels"/>
          <w:i w:val="0"/>
          <w:sz w:val="22"/>
          <w:szCs w:val="22"/>
          <w:lang w:val="en-GB"/>
        </w:rPr>
        <w:t xml:space="preserve">All written communications for this tender procedure and contract must be in English.  </w:t>
      </w:r>
    </w:p>
    <w:p w14:paraId="38DC66B2" w14:textId="7F95E190" w:rsidR="00E9047D" w:rsidRPr="00371C5B" w:rsidRDefault="00326B16" w:rsidP="00371C5B">
      <w:pPr>
        <w:keepNext/>
        <w:widowControl/>
        <w:spacing w:before="240" w:after="120"/>
        <w:ind w:left="426" w:hanging="426"/>
        <w:outlineLvl w:val="0"/>
        <w:rPr>
          <w:rStyle w:val="Kiemels2"/>
        </w:rPr>
      </w:pPr>
      <w:r w:rsidRPr="00371C5B">
        <w:rPr>
          <w:rStyle w:val="Kiemels2"/>
        </w:rPr>
        <w:t>2</w:t>
      </w:r>
      <w:r w:rsidR="00033EFD">
        <w:rPr>
          <w:rStyle w:val="Kiemels2"/>
        </w:rPr>
        <w:t>2</w:t>
      </w:r>
      <w:r w:rsidR="008272C0" w:rsidRPr="00371C5B">
        <w:rPr>
          <w:rStyle w:val="Kiemels2"/>
        </w:rPr>
        <w:t>.</w:t>
      </w:r>
      <w:r w:rsidR="00FD5083">
        <w:rPr>
          <w:rStyle w:val="Kiemels2"/>
        </w:rPr>
        <w:tab/>
      </w:r>
      <w:r w:rsidR="00E9047D" w:rsidRPr="00371C5B">
        <w:rPr>
          <w:rStyle w:val="Kiemels2"/>
        </w:rPr>
        <w:t>Additional information</w:t>
      </w:r>
    </w:p>
    <w:p w14:paraId="3A28BEFF" w14:textId="7F751E36" w:rsidR="000A01D4" w:rsidRPr="00D275E6" w:rsidRDefault="000A01D4" w:rsidP="000A01D4">
      <w:pPr>
        <w:pStyle w:val="PRAGHeading2"/>
        <w:numPr>
          <w:ilvl w:val="0"/>
          <w:numId w:val="0"/>
        </w:numPr>
        <w:spacing w:before="0" w:after="120" w:line="240" w:lineRule="atLeast"/>
        <w:ind w:left="426"/>
        <w:jc w:val="both"/>
        <w:rPr>
          <w:sz w:val="22"/>
          <w:szCs w:val="22"/>
          <w:lang w:val="en-GB"/>
        </w:rPr>
      </w:pPr>
      <w:r w:rsidRPr="00D275E6">
        <w:rPr>
          <w:sz w:val="22"/>
          <w:szCs w:val="22"/>
          <w:lang w:val="en-GB"/>
        </w:rPr>
        <w:t xml:space="preserve">Financial data to be provided by the candidate in the request to participate form or </w:t>
      </w:r>
      <w:r>
        <w:rPr>
          <w:sz w:val="22"/>
          <w:szCs w:val="22"/>
          <w:lang w:val="en-GB"/>
        </w:rPr>
        <w:t xml:space="preserve">the tenderer </w:t>
      </w:r>
      <w:r w:rsidRPr="00D275E6">
        <w:rPr>
          <w:sz w:val="22"/>
          <w:szCs w:val="22"/>
          <w:lang w:val="en-GB"/>
        </w:rPr>
        <w:t xml:space="preserve">in the tender submission form must be expressed in </w:t>
      </w:r>
      <w:r w:rsidR="002173DD">
        <w:rPr>
          <w:sz w:val="22"/>
          <w:szCs w:val="22"/>
          <w:lang w:val="en-GB"/>
        </w:rPr>
        <w:t>EUR</w:t>
      </w:r>
      <w:r w:rsidRPr="00D275E6">
        <w:rPr>
          <w:sz w:val="22"/>
          <w:szCs w:val="22"/>
          <w:lang w:val="en-GB"/>
        </w:rPr>
        <w:t xml:space="preserve">. If applicable, where a candidate </w:t>
      </w:r>
      <w:r>
        <w:rPr>
          <w:sz w:val="22"/>
          <w:szCs w:val="22"/>
          <w:lang w:val="en-GB"/>
        </w:rPr>
        <w:t xml:space="preserve">or tenderer </w:t>
      </w:r>
      <w:r w:rsidRPr="00D275E6">
        <w:rPr>
          <w:sz w:val="22"/>
          <w:szCs w:val="22"/>
          <w:lang w:val="en-GB"/>
        </w:rPr>
        <w:t xml:space="preserve">refers to amounts originally expressed in a different currency, the conversion to </w:t>
      </w:r>
      <w:r w:rsidR="002173DD">
        <w:rPr>
          <w:sz w:val="22"/>
          <w:szCs w:val="22"/>
          <w:lang w:val="en-GB"/>
        </w:rPr>
        <w:t>EUR</w:t>
      </w:r>
      <w:r w:rsidRPr="00D275E6">
        <w:rPr>
          <w:sz w:val="22"/>
          <w:szCs w:val="22"/>
          <w:lang w:val="en-GB"/>
        </w:rPr>
        <w:t xml:space="preserve"> shall be made in accordance with the InforEuro exchange rate of </w:t>
      </w:r>
      <w:r w:rsidR="00780830">
        <w:rPr>
          <w:sz w:val="22"/>
          <w:szCs w:val="22"/>
          <w:lang w:val="en-GB"/>
        </w:rPr>
        <w:t>April</w:t>
      </w:r>
      <w:r>
        <w:rPr>
          <w:sz w:val="22"/>
          <w:szCs w:val="22"/>
          <w:lang w:val="en-GB"/>
        </w:rPr>
        <w:t xml:space="preserve"> 2026.</w:t>
      </w:r>
      <w:r w:rsidRPr="00D275E6">
        <w:rPr>
          <w:sz w:val="22"/>
          <w:szCs w:val="22"/>
          <w:lang w:val="en-GB"/>
        </w:rPr>
        <w:t xml:space="preserve">, which can be found at the following address: </w:t>
      </w:r>
      <w:hyperlink r:id="rId9" w:history="1">
        <w:r w:rsidRPr="00D275E6">
          <w:rPr>
            <w:rStyle w:val="Hiperhivatkozs"/>
            <w:sz w:val="22"/>
            <w:szCs w:val="22"/>
            <w:lang w:val="en-GB"/>
          </w:rPr>
          <w:t>http://ec.europa.eu/budget/graphs/inforeuro.html</w:t>
        </w:r>
      </w:hyperlink>
      <w:r w:rsidRPr="00D275E6">
        <w:rPr>
          <w:sz w:val="22"/>
          <w:szCs w:val="22"/>
          <w:lang w:val="en-GB"/>
        </w:rPr>
        <w:t>.</w:t>
      </w:r>
      <w:bookmarkStart w:id="16" w:name="_GoBack"/>
      <w:bookmarkEnd w:id="16"/>
    </w:p>
    <w:p w14:paraId="7A5C8404" w14:textId="15E2D597" w:rsidR="00AF412E" w:rsidRPr="008660AD" w:rsidRDefault="00AF412E" w:rsidP="00371C5B">
      <w:pPr>
        <w:widowControl/>
        <w:snapToGrid w:val="0"/>
        <w:spacing w:after="120"/>
        <w:ind w:left="425"/>
        <w:jc w:val="both"/>
        <w:rPr>
          <w:sz w:val="22"/>
          <w:szCs w:val="22"/>
          <w:lang w:val="en-GB"/>
        </w:rPr>
      </w:pPr>
    </w:p>
    <w:p w14:paraId="2AC4BD41" w14:textId="5FD6B201"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7D46" w14:textId="77777777" w:rsidR="00A11EF2" w:rsidRDefault="00A11EF2">
      <w:r>
        <w:separator/>
      </w:r>
    </w:p>
  </w:endnote>
  <w:endnote w:type="continuationSeparator" w:id="0">
    <w:p w14:paraId="772E3C99" w14:textId="77777777" w:rsidR="00A11EF2" w:rsidRDefault="00A1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031B" w14:textId="77777777" w:rsidR="00371C5B" w:rsidRDefault="00371C5B">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3DC456BB" w:rsidR="00EF0A8C" w:rsidRPr="00B33EE6" w:rsidRDefault="00FD5083" w:rsidP="00F9055E">
    <w:pPr>
      <w:pStyle w:val="llb"/>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EF0A8C" w:rsidRPr="00B33EE6">
      <w:rPr>
        <w:rStyle w:val="Oldalszm"/>
        <w:sz w:val="18"/>
        <w:szCs w:val="18"/>
        <w:lang w:val="en-GB"/>
      </w:rPr>
      <w:fldChar w:fldCharType="begin"/>
    </w:r>
    <w:r w:rsidR="00EF0A8C" w:rsidRPr="00B33EE6">
      <w:rPr>
        <w:rStyle w:val="Oldalszm"/>
        <w:sz w:val="18"/>
        <w:szCs w:val="18"/>
        <w:lang w:val="en-GB"/>
      </w:rPr>
      <w:instrText xml:space="preserve"> PAGE </w:instrText>
    </w:r>
    <w:r w:rsidR="00EF0A8C" w:rsidRPr="00B33EE6">
      <w:rPr>
        <w:rStyle w:val="Oldalszm"/>
        <w:sz w:val="18"/>
        <w:szCs w:val="18"/>
        <w:lang w:val="en-GB"/>
      </w:rPr>
      <w:fldChar w:fldCharType="separate"/>
    </w:r>
    <w:r w:rsidR="00780830">
      <w:rPr>
        <w:rStyle w:val="Oldalszm"/>
        <w:noProof/>
        <w:sz w:val="18"/>
        <w:szCs w:val="18"/>
        <w:lang w:val="en-GB"/>
      </w:rPr>
      <w:t>5</w:t>
    </w:r>
    <w:r w:rsidR="00EF0A8C" w:rsidRPr="00B33EE6">
      <w:rPr>
        <w:rStyle w:val="Oldalszm"/>
        <w:sz w:val="18"/>
        <w:szCs w:val="18"/>
        <w:lang w:val="en-GB"/>
      </w:rPr>
      <w:fldChar w:fldCharType="end"/>
    </w:r>
    <w:r w:rsidR="00B33EE6" w:rsidRPr="00B33EE6">
      <w:rPr>
        <w:rStyle w:val="Oldalszm"/>
        <w:sz w:val="18"/>
        <w:szCs w:val="18"/>
        <w:lang w:val="en-GB"/>
      </w:rPr>
      <w:t xml:space="preserve"> of </w:t>
    </w:r>
    <w:r w:rsidR="00B33EE6" w:rsidRPr="00B33EE6">
      <w:rPr>
        <w:rStyle w:val="Oldalszm"/>
        <w:sz w:val="18"/>
        <w:szCs w:val="18"/>
        <w:lang w:val="en-GB"/>
      </w:rPr>
      <w:fldChar w:fldCharType="begin"/>
    </w:r>
    <w:r w:rsidR="00B33EE6" w:rsidRPr="00B33EE6">
      <w:rPr>
        <w:rStyle w:val="Oldalszm"/>
        <w:sz w:val="18"/>
        <w:szCs w:val="18"/>
        <w:lang w:val="en-GB"/>
      </w:rPr>
      <w:instrText xml:space="preserve"> NUMPAGES   \* MERGEFORMAT </w:instrText>
    </w:r>
    <w:r w:rsidR="00B33EE6" w:rsidRPr="00B33EE6">
      <w:rPr>
        <w:rStyle w:val="Oldalszm"/>
        <w:sz w:val="18"/>
        <w:szCs w:val="18"/>
        <w:lang w:val="en-GB"/>
      </w:rPr>
      <w:fldChar w:fldCharType="separate"/>
    </w:r>
    <w:r w:rsidR="00780830">
      <w:rPr>
        <w:rStyle w:val="Oldalszm"/>
        <w:noProof/>
        <w:sz w:val="18"/>
        <w:szCs w:val="18"/>
        <w:lang w:val="en-GB"/>
      </w:rPr>
      <w:t>5</w:t>
    </w:r>
    <w:r w:rsidR="00B33EE6" w:rsidRPr="00B33EE6">
      <w:rPr>
        <w:rStyle w:val="Oldalszm"/>
        <w:sz w:val="18"/>
        <w:szCs w:val="18"/>
        <w:lang w:val="en-GB"/>
      </w:rPr>
      <w:fldChar w:fldCharType="end"/>
    </w:r>
  </w:p>
  <w:p w14:paraId="77551F46" w14:textId="2A0EDC76" w:rsidR="00EF0A8C" w:rsidRPr="00B33EE6" w:rsidRDefault="00FD5083" w:rsidP="00FD5083">
    <w:pPr>
      <w:pStyle w:val="llb"/>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C640A4">
      <w:rPr>
        <w:noProof/>
        <w:sz w:val="18"/>
        <w:szCs w:val="18"/>
        <w:lang w:val="en-GB"/>
      </w:rPr>
      <w:t>c2_contractnotice_simp_neg_en.docx</w:t>
    </w:r>
    <w:r>
      <w:rPr>
        <w:sz w:val="18"/>
        <w:szCs w:val="18"/>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E838" w14:textId="77777777" w:rsidR="00371C5B" w:rsidRDefault="00371C5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B15F2" w14:textId="77777777" w:rsidR="00A11EF2" w:rsidRDefault="00A11EF2">
      <w:r>
        <w:separator/>
      </w:r>
    </w:p>
  </w:footnote>
  <w:footnote w:type="continuationSeparator" w:id="0">
    <w:p w14:paraId="291CB898" w14:textId="77777777" w:rsidR="00A11EF2" w:rsidRDefault="00A11EF2">
      <w:r>
        <w:continuationSeparator/>
      </w:r>
    </w:p>
  </w:footnote>
  <w:footnote w:id="1">
    <w:p w14:paraId="0AE5234C" w14:textId="090A2C47" w:rsidR="00F06A6A" w:rsidRPr="00371C5B" w:rsidRDefault="00F06A6A" w:rsidP="00371C5B">
      <w:pPr>
        <w:pStyle w:val="Lbjegyzetszveg"/>
        <w:ind w:left="284" w:hanging="284"/>
        <w:jc w:val="both"/>
        <w:rPr>
          <w:lang w:val="en-IE"/>
        </w:rPr>
      </w:pPr>
      <w:r>
        <w:rPr>
          <w:rStyle w:val="Lbjegyzet-hivatkozs"/>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iperhivatkozs"/>
            <w:i/>
            <w:iCs/>
            <w:sz w:val="18"/>
            <w:szCs w:val="18"/>
          </w:rPr>
          <w:t>EU Sanctions Map</w:t>
        </w:r>
      </w:hyperlink>
      <w:r w:rsidRPr="005C423F">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7B4E" w14:textId="77777777" w:rsidR="00371C5B" w:rsidRDefault="00371C5B">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43FC" w14:textId="77777777" w:rsidR="00371C5B" w:rsidRDefault="00371C5B">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06EA" w14:textId="77777777" w:rsidR="00371C5B" w:rsidRDefault="00371C5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8AB50FB"/>
    <w:multiLevelType w:val="hybridMultilevel"/>
    <w:tmpl w:val="94482B42"/>
    <w:lvl w:ilvl="0" w:tplc="DF5ED5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B630CA0"/>
    <w:multiLevelType w:val="hybridMultilevel"/>
    <w:tmpl w:val="F836EC4E"/>
    <w:lvl w:ilvl="0" w:tplc="0F0207C2">
      <w:start w:val="3"/>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0721D82"/>
    <w:multiLevelType w:val="hybridMultilevel"/>
    <w:tmpl w:val="C09A61E2"/>
    <w:lvl w:ilvl="0" w:tplc="967A314A">
      <w:start w:val="1"/>
      <w:numFmt w:val="decimal"/>
      <w:lvlText w:val="%1)"/>
      <w:lvlJc w:val="left"/>
      <w:pPr>
        <w:ind w:left="717" w:hanging="360"/>
      </w:pPr>
      <w:rPr>
        <w:rFonts w:hint="default"/>
        <w:b/>
        <w:u w:val="non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3"/>
  </w:num>
  <w:num w:numId="35">
    <w:abstractNumId w:val="35"/>
  </w:num>
  <w:num w:numId="36">
    <w:abstractNumId w:val="33"/>
  </w:num>
  <w:num w:numId="37">
    <w:abstractNumId w:val="37"/>
  </w:num>
  <w:num w:numId="38">
    <w:abstractNumId w:val="40"/>
  </w:num>
  <w:num w:numId="39">
    <w:abstractNumId w:val="45"/>
  </w:num>
  <w:num w:numId="40">
    <w:abstractNumId w:val="47"/>
  </w:num>
  <w:num w:numId="41">
    <w:abstractNumId w:val="41"/>
  </w:num>
  <w:num w:numId="42">
    <w:abstractNumId w:val="44"/>
  </w:num>
  <w:num w:numId="43">
    <w:abstractNumId w:val="38"/>
  </w:num>
  <w:num w:numId="44">
    <w:abstractNumId w:val="34"/>
  </w:num>
  <w:num w:numId="45">
    <w:abstractNumId w:val="48"/>
  </w:num>
  <w:num w:numId="46">
    <w:abstractNumId w:val="39"/>
  </w:num>
  <w:num w:numId="47">
    <w:abstractNumId w:val="42"/>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0"/>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50FF8"/>
    <w:rsid w:val="00002435"/>
    <w:rsid w:val="00006898"/>
    <w:rsid w:val="00012223"/>
    <w:rsid w:val="00012AF1"/>
    <w:rsid w:val="00013EB7"/>
    <w:rsid w:val="00013F0F"/>
    <w:rsid w:val="00014B76"/>
    <w:rsid w:val="00015ECC"/>
    <w:rsid w:val="0002004D"/>
    <w:rsid w:val="00022D5F"/>
    <w:rsid w:val="0002408B"/>
    <w:rsid w:val="0003004C"/>
    <w:rsid w:val="00030910"/>
    <w:rsid w:val="000333FE"/>
    <w:rsid w:val="00033EFD"/>
    <w:rsid w:val="00051D1D"/>
    <w:rsid w:val="00063FB5"/>
    <w:rsid w:val="0007067C"/>
    <w:rsid w:val="000739DE"/>
    <w:rsid w:val="00080900"/>
    <w:rsid w:val="000865D9"/>
    <w:rsid w:val="00087A72"/>
    <w:rsid w:val="00095030"/>
    <w:rsid w:val="000A01D4"/>
    <w:rsid w:val="000A0D57"/>
    <w:rsid w:val="000A3758"/>
    <w:rsid w:val="000B0333"/>
    <w:rsid w:val="000B14E4"/>
    <w:rsid w:val="000B693E"/>
    <w:rsid w:val="000B7C91"/>
    <w:rsid w:val="000C1101"/>
    <w:rsid w:val="000C1522"/>
    <w:rsid w:val="000D1732"/>
    <w:rsid w:val="000D3EBF"/>
    <w:rsid w:val="000E4709"/>
    <w:rsid w:val="000F0F6C"/>
    <w:rsid w:val="000F1340"/>
    <w:rsid w:val="000F5DEF"/>
    <w:rsid w:val="0010162C"/>
    <w:rsid w:val="00105302"/>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64F1"/>
    <w:rsid w:val="001D19A6"/>
    <w:rsid w:val="001D55F7"/>
    <w:rsid w:val="001D7B2B"/>
    <w:rsid w:val="001E50A2"/>
    <w:rsid w:val="001F0839"/>
    <w:rsid w:val="001F1546"/>
    <w:rsid w:val="001F3B9C"/>
    <w:rsid w:val="001F780C"/>
    <w:rsid w:val="00201320"/>
    <w:rsid w:val="002065E9"/>
    <w:rsid w:val="002078BB"/>
    <w:rsid w:val="00212656"/>
    <w:rsid w:val="00213E14"/>
    <w:rsid w:val="00216179"/>
    <w:rsid w:val="002173DD"/>
    <w:rsid w:val="00226829"/>
    <w:rsid w:val="00233B9D"/>
    <w:rsid w:val="00233DDA"/>
    <w:rsid w:val="00235A71"/>
    <w:rsid w:val="002413EA"/>
    <w:rsid w:val="00243849"/>
    <w:rsid w:val="002575AA"/>
    <w:rsid w:val="00266EB9"/>
    <w:rsid w:val="002753AD"/>
    <w:rsid w:val="00283F03"/>
    <w:rsid w:val="002845CD"/>
    <w:rsid w:val="00287536"/>
    <w:rsid w:val="002A7A99"/>
    <w:rsid w:val="002B2145"/>
    <w:rsid w:val="002D266E"/>
    <w:rsid w:val="002D4121"/>
    <w:rsid w:val="002E1B83"/>
    <w:rsid w:val="002E25ED"/>
    <w:rsid w:val="002E2635"/>
    <w:rsid w:val="002E7D33"/>
    <w:rsid w:val="002F4E69"/>
    <w:rsid w:val="003045C3"/>
    <w:rsid w:val="00313F6B"/>
    <w:rsid w:val="00322D52"/>
    <w:rsid w:val="003232ED"/>
    <w:rsid w:val="00323BDD"/>
    <w:rsid w:val="003262FC"/>
    <w:rsid w:val="00326B16"/>
    <w:rsid w:val="00330261"/>
    <w:rsid w:val="003378F6"/>
    <w:rsid w:val="00342E7F"/>
    <w:rsid w:val="00347673"/>
    <w:rsid w:val="00347E84"/>
    <w:rsid w:val="003574F5"/>
    <w:rsid w:val="00357E25"/>
    <w:rsid w:val="00362824"/>
    <w:rsid w:val="00363ECB"/>
    <w:rsid w:val="00364564"/>
    <w:rsid w:val="003670BA"/>
    <w:rsid w:val="003717BC"/>
    <w:rsid w:val="00371C5B"/>
    <w:rsid w:val="003804AD"/>
    <w:rsid w:val="003861D9"/>
    <w:rsid w:val="0038633F"/>
    <w:rsid w:val="00386E96"/>
    <w:rsid w:val="0038796E"/>
    <w:rsid w:val="0039147E"/>
    <w:rsid w:val="00391D5F"/>
    <w:rsid w:val="0039347D"/>
    <w:rsid w:val="003947E7"/>
    <w:rsid w:val="00397073"/>
    <w:rsid w:val="003A4357"/>
    <w:rsid w:val="003B1B35"/>
    <w:rsid w:val="003C1515"/>
    <w:rsid w:val="003D16FB"/>
    <w:rsid w:val="003D6CAD"/>
    <w:rsid w:val="003E782D"/>
    <w:rsid w:val="0040360C"/>
    <w:rsid w:val="004108A4"/>
    <w:rsid w:val="00424124"/>
    <w:rsid w:val="0043533D"/>
    <w:rsid w:val="00452ED8"/>
    <w:rsid w:val="0045494F"/>
    <w:rsid w:val="004563EB"/>
    <w:rsid w:val="004567DF"/>
    <w:rsid w:val="00472630"/>
    <w:rsid w:val="00473883"/>
    <w:rsid w:val="00476D80"/>
    <w:rsid w:val="00480B5C"/>
    <w:rsid w:val="00480C87"/>
    <w:rsid w:val="00482AFE"/>
    <w:rsid w:val="004850B4"/>
    <w:rsid w:val="004901C2"/>
    <w:rsid w:val="004957E5"/>
    <w:rsid w:val="004A35F6"/>
    <w:rsid w:val="004B47FC"/>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71EF"/>
    <w:rsid w:val="005D41DD"/>
    <w:rsid w:val="005D752E"/>
    <w:rsid w:val="005F0AF0"/>
    <w:rsid w:val="005F776D"/>
    <w:rsid w:val="0060359F"/>
    <w:rsid w:val="0061336A"/>
    <w:rsid w:val="006277AA"/>
    <w:rsid w:val="006309DE"/>
    <w:rsid w:val="00632BDC"/>
    <w:rsid w:val="0064390B"/>
    <w:rsid w:val="00663BB9"/>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30668"/>
    <w:rsid w:val="007471C5"/>
    <w:rsid w:val="00750FF8"/>
    <w:rsid w:val="00753FC2"/>
    <w:rsid w:val="00756C38"/>
    <w:rsid w:val="00761673"/>
    <w:rsid w:val="00761893"/>
    <w:rsid w:val="007653F4"/>
    <w:rsid w:val="00770822"/>
    <w:rsid w:val="00771F85"/>
    <w:rsid w:val="00771F97"/>
    <w:rsid w:val="007727F3"/>
    <w:rsid w:val="00780830"/>
    <w:rsid w:val="00780EAB"/>
    <w:rsid w:val="00781603"/>
    <w:rsid w:val="00786464"/>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0CDB"/>
    <w:rsid w:val="008272C0"/>
    <w:rsid w:val="00830146"/>
    <w:rsid w:val="00831982"/>
    <w:rsid w:val="008323D3"/>
    <w:rsid w:val="008351FF"/>
    <w:rsid w:val="0084413D"/>
    <w:rsid w:val="00846F87"/>
    <w:rsid w:val="00862885"/>
    <w:rsid w:val="008660AD"/>
    <w:rsid w:val="00867471"/>
    <w:rsid w:val="0087086B"/>
    <w:rsid w:val="00870FC9"/>
    <w:rsid w:val="00871C69"/>
    <w:rsid w:val="00881C2D"/>
    <w:rsid w:val="00886ED7"/>
    <w:rsid w:val="00894E29"/>
    <w:rsid w:val="0089693D"/>
    <w:rsid w:val="008A1184"/>
    <w:rsid w:val="008A1514"/>
    <w:rsid w:val="008B05E5"/>
    <w:rsid w:val="008B0830"/>
    <w:rsid w:val="008B77CD"/>
    <w:rsid w:val="008C3178"/>
    <w:rsid w:val="008C68A0"/>
    <w:rsid w:val="008D1243"/>
    <w:rsid w:val="008D3E45"/>
    <w:rsid w:val="008E13D5"/>
    <w:rsid w:val="008E2D12"/>
    <w:rsid w:val="008E2E1D"/>
    <w:rsid w:val="008F294D"/>
    <w:rsid w:val="009017AA"/>
    <w:rsid w:val="009055F3"/>
    <w:rsid w:val="0090581D"/>
    <w:rsid w:val="009066B6"/>
    <w:rsid w:val="00907556"/>
    <w:rsid w:val="00913817"/>
    <w:rsid w:val="0092504E"/>
    <w:rsid w:val="00925A2D"/>
    <w:rsid w:val="00925F7F"/>
    <w:rsid w:val="009260B8"/>
    <w:rsid w:val="0092731B"/>
    <w:rsid w:val="009317C0"/>
    <w:rsid w:val="009352F4"/>
    <w:rsid w:val="00940E1D"/>
    <w:rsid w:val="009510CB"/>
    <w:rsid w:val="00952960"/>
    <w:rsid w:val="00954FB8"/>
    <w:rsid w:val="00956BA0"/>
    <w:rsid w:val="0096032B"/>
    <w:rsid w:val="009631BE"/>
    <w:rsid w:val="009707C4"/>
    <w:rsid w:val="00970A93"/>
    <w:rsid w:val="00970B01"/>
    <w:rsid w:val="00971962"/>
    <w:rsid w:val="00971CC5"/>
    <w:rsid w:val="00980AEA"/>
    <w:rsid w:val="00991002"/>
    <w:rsid w:val="00994EA3"/>
    <w:rsid w:val="009A38DE"/>
    <w:rsid w:val="009B06B5"/>
    <w:rsid w:val="009B5369"/>
    <w:rsid w:val="009B69BE"/>
    <w:rsid w:val="009E5BC1"/>
    <w:rsid w:val="009E5C83"/>
    <w:rsid w:val="009F0852"/>
    <w:rsid w:val="009F128B"/>
    <w:rsid w:val="009F5FB4"/>
    <w:rsid w:val="00A00BD5"/>
    <w:rsid w:val="00A021B5"/>
    <w:rsid w:val="00A02E6B"/>
    <w:rsid w:val="00A03055"/>
    <w:rsid w:val="00A046E7"/>
    <w:rsid w:val="00A04B00"/>
    <w:rsid w:val="00A11931"/>
    <w:rsid w:val="00A11EF2"/>
    <w:rsid w:val="00A171EA"/>
    <w:rsid w:val="00A2072F"/>
    <w:rsid w:val="00A22177"/>
    <w:rsid w:val="00A236A4"/>
    <w:rsid w:val="00A35081"/>
    <w:rsid w:val="00A36F1C"/>
    <w:rsid w:val="00A433A6"/>
    <w:rsid w:val="00A43E7A"/>
    <w:rsid w:val="00A46ED3"/>
    <w:rsid w:val="00A504E1"/>
    <w:rsid w:val="00A609E7"/>
    <w:rsid w:val="00A666EC"/>
    <w:rsid w:val="00A67104"/>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16E47"/>
    <w:rsid w:val="00B200AF"/>
    <w:rsid w:val="00B27B8B"/>
    <w:rsid w:val="00B33EE6"/>
    <w:rsid w:val="00B435D5"/>
    <w:rsid w:val="00B46840"/>
    <w:rsid w:val="00B503CB"/>
    <w:rsid w:val="00B50F8D"/>
    <w:rsid w:val="00B53C08"/>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25EF9"/>
    <w:rsid w:val="00C30183"/>
    <w:rsid w:val="00C316FC"/>
    <w:rsid w:val="00C3644F"/>
    <w:rsid w:val="00C36666"/>
    <w:rsid w:val="00C43AAC"/>
    <w:rsid w:val="00C460D8"/>
    <w:rsid w:val="00C52B1A"/>
    <w:rsid w:val="00C53194"/>
    <w:rsid w:val="00C5322B"/>
    <w:rsid w:val="00C608A1"/>
    <w:rsid w:val="00C61B8C"/>
    <w:rsid w:val="00C640A4"/>
    <w:rsid w:val="00C712DE"/>
    <w:rsid w:val="00C72CE0"/>
    <w:rsid w:val="00C836E5"/>
    <w:rsid w:val="00C83C65"/>
    <w:rsid w:val="00C840D0"/>
    <w:rsid w:val="00C843AC"/>
    <w:rsid w:val="00C867B9"/>
    <w:rsid w:val="00CA3B1B"/>
    <w:rsid w:val="00CB23E3"/>
    <w:rsid w:val="00CB2A5B"/>
    <w:rsid w:val="00CB759D"/>
    <w:rsid w:val="00CB7AAE"/>
    <w:rsid w:val="00CC0A41"/>
    <w:rsid w:val="00CC3BA0"/>
    <w:rsid w:val="00CC48C9"/>
    <w:rsid w:val="00CD765A"/>
    <w:rsid w:val="00CE49A1"/>
    <w:rsid w:val="00CF759C"/>
    <w:rsid w:val="00D00216"/>
    <w:rsid w:val="00D011CD"/>
    <w:rsid w:val="00D06A30"/>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87D0A"/>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3A94"/>
    <w:rsid w:val="00E30BB5"/>
    <w:rsid w:val="00E31447"/>
    <w:rsid w:val="00E422A2"/>
    <w:rsid w:val="00E5220B"/>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C1215"/>
    <w:rsid w:val="00EC7EB7"/>
    <w:rsid w:val="00ED5FA0"/>
    <w:rsid w:val="00EE0A07"/>
    <w:rsid w:val="00EE6E92"/>
    <w:rsid w:val="00EF03C9"/>
    <w:rsid w:val="00EF0A8C"/>
    <w:rsid w:val="00EF6A28"/>
    <w:rsid w:val="00EF6FBF"/>
    <w:rsid w:val="00F014D9"/>
    <w:rsid w:val="00F05BF1"/>
    <w:rsid w:val="00F06A6A"/>
    <w:rsid w:val="00F07EE2"/>
    <w:rsid w:val="00F1778E"/>
    <w:rsid w:val="00F17A90"/>
    <w:rsid w:val="00F233FF"/>
    <w:rsid w:val="00F27C45"/>
    <w:rsid w:val="00F33C45"/>
    <w:rsid w:val="00F355AB"/>
    <w:rsid w:val="00F36AE6"/>
    <w:rsid w:val="00F46873"/>
    <w:rsid w:val="00F4786D"/>
    <w:rsid w:val="00F504CC"/>
    <w:rsid w:val="00F50E8B"/>
    <w:rsid w:val="00F54C7B"/>
    <w:rsid w:val="00F60220"/>
    <w:rsid w:val="00F76A8F"/>
    <w:rsid w:val="00F77C8A"/>
    <w:rsid w:val="00F86AAA"/>
    <w:rsid w:val="00F9055E"/>
    <w:rsid w:val="00F91683"/>
    <w:rsid w:val="00F94A14"/>
    <w:rsid w:val="00FA17FC"/>
    <w:rsid w:val="00FB17AC"/>
    <w:rsid w:val="00FC622D"/>
    <w:rsid w:val="00FD5083"/>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spacing w:before="100" w:after="100"/>
    </w:pPr>
    <w:rPr>
      <w:snapToGrid w:val="0"/>
      <w:sz w:val="24"/>
    </w:rPr>
  </w:style>
  <w:style w:type="paragraph" w:styleId="Cmsor2">
    <w:name w:val="heading 2"/>
    <w:basedOn w:val="Norml"/>
    <w:next w:val="Norml"/>
    <w:qFormat/>
    <w:rsid w:val="007D6292"/>
    <w:pPr>
      <w:keepNext/>
      <w:widowControl/>
      <w:spacing w:before="120" w:after="120"/>
      <w:outlineLvl w:val="1"/>
    </w:pPr>
    <w:rPr>
      <w:rFonts w:ascii="Arial" w:hAnsi="Arial"/>
      <w:sz w:val="20"/>
      <w:lang w:val="fr-BE"/>
    </w:rPr>
  </w:style>
  <w:style w:type="paragraph" w:styleId="Cmsor4">
    <w:name w:val="heading 4"/>
    <w:basedOn w:val="Norml"/>
    <w:next w:val="Norml"/>
    <w:link w:val="Cmsor4Char"/>
    <w:semiHidden/>
    <w:unhideWhenUsed/>
    <w:qFormat/>
    <w:rsid w:val="009B5369"/>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initionTerm">
    <w:name w:val="Definition Term"/>
    <w:basedOn w:val="Norml"/>
    <w:next w:val="DefinitionList"/>
    <w:pPr>
      <w:spacing w:before="0" w:after="0"/>
    </w:pPr>
  </w:style>
  <w:style w:type="paragraph" w:customStyle="1" w:styleId="DefinitionList">
    <w:name w:val="Definition List"/>
    <w:basedOn w:val="Norml"/>
    <w:next w:val="DefinitionTerm"/>
    <w:pPr>
      <w:spacing w:before="0" w:after="0"/>
      <w:ind w:left="360"/>
    </w:pPr>
  </w:style>
  <w:style w:type="character" w:customStyle="1" w:styleId="Definition">
    <w:name w:val="Definition"/>
    <w:rPr>
      <w:i/>
    </w:rPr>
  </w:style>
  <w:style w:type="paragraph" w:customStyle="1" w:styleId="H1">
    <w:name w:val="H1"/>
    <w:basedOn w:val="Norml"/>
    <w:next w:val="Norml"/>
    <w:pPr>
      <w:keepNext/>
      <w:outlineLvl w:val="1"/>
    </w:pPr>
    <w:rPr>
      <w:b/>
      <w:kern w:val="36"/>
      <w:sz w:val="48"/>
    </w:rPr>
  </w:style>
  <w:style w:type="paragraph" w:customStyle="1" w:styleId="H2">
    <w:name w:val="H2"/>
    <w:basedOn w:val="Norml"/>
    <w:next w:val="Norml"/>
    <w:pPr>
      <w:keepNext/>
      <w:outlineLvl w:val="2"/>
    </w:pPr>
    <w:rPr>
      <w:b/>
      <w:sz w:val="36"/>
    </w:rPr>
  </w:style>
  <w:style w:type="paragraph" w:customStyle="1" w:styleId="H3">
    <w:name w:val="H3"/>
    <w:basedOn w:val="Norml"/>
    <w:next w:val="Norml"/>
    <w:pPr>
      <w:keepNext/>
      <w:outlineLvl w:val="3"/>
    </w:pPr>
    <w:rPr>
      <w:b/>
      <w:sz w:val="28"/>
    </w:rPr>
  </w:style>
  <w:style w:type="paragraph" w:customStyle="1" w:styleId="H4">
    <w:name w:val="H4"/>
    <w:basedOn w:val="Norml"/>
    <w:next w:val="Norml"/>
    <w:pPr>
      <w:keepNext/>
      <w:outlineLvl w:val="4"/>
    </w:pPr>
    <w:rPr>
      <w:b/>
    </w:rPr>
  </w:style>
  <w:style w:type="paragraph" w:customStyle="1" w:styleId="H5">
    <w:name w:val="H5"/>
    <w:basedOn w:val="Norml"/>
    <w:next w:val="Norml"/>
    <w:pPr>
      <w:keepNext/>
      <w:outlineLvl w:val="5"/>
    </w:pPr>
    <w:rPr>
      <w:b/>
      <w:sz w:val="20"/>
    </w:rPr>
  </w:style>
  <w:style w:type="paragraph" w:customStyle="1" w:styleId="H6">
    <w:name w:val="H6"/>
    <w:basedOn w:val="Norml"/>
    <w:next w:val="Norml"/>
    <w:pPr>
      <w:keepNext/>
      <w:outlineLvl w:val="6"/>
    </w:pPr>
    <w:rPr>
      <w:b/>
      <w:sz w:val="16"/>
    </w:rPr>
  </w:style>
  <w:style w:type="paragraph" w:customStyle="1" w:styleId="Address">
    <w:name w:val="Address"/>
    <w:basedOn w:val="Norml"/>
    <w:next w:val="Norml"/>
    <w:pPr>
      <w:spacing w:before="0" w:after="0"/>
    </w:pPr>
    <w:rPr>
      <w:i/>
    </w:rPr>
  </w:style>
  <w:style w:type="paragraph" w:customStyle="1" w:styleId="Blockquote">
    <w:name w:val="Blockquote"/>
    <w:basedOn w:val="Norm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Kiemels">
    <w:name w:val="Emphasis"/>
    <w:qFormat/>
    <w:rPr>
      <w:i/>
    </w:rPr>
  </w:style>
  <w:style w:type="character" w:styleId="Hiperhivatkozs">
    <w:name w:val="Hyperlink"/>
    <w:rPr>
      <w:color w:val="0000FF"/>
      <w:u w:val="single"/>
    </w:rPr>
  </w:style>
  <w:style w:type="character" w:styleId="Mrltotthiperhivatkozs">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Akrdvalja">
    <w:name w:val="HTML Bottom of Form"/>
    <w:next w:val="Norml"/>
    <w:hidden/>
    <w:pPr>
      <w:widowControl w:val="0"/>
      <w:pBdr>
        <w:top w:val="double" w:sz="2" w:space="0" w:color="000000"/>
      </w:pBdr>
      <w:jc w:val="center"/>
    </w:pPr>
    <w:rPr>
      <w:rFonts w:ascii="Arial" w:hAnsi="Arial"/>
      <w:snapToGrid w:val="0"/>
      <w:vanish/>
      <w:sz w:val="16"/>
    </w:rPr>
  </w:style>
  <w:style w:type="paragraph" w:styleId="z-Akrdvteteje">
    <w:name w:val="HTML Top of Form"/>
    <w:next w:val="Norm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Kiemels2">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kumentumtrkp">
    <w:name w:val="Document Map"/>
    <w:basedOn w:val="Norml"/>
    <w:semiHidden/>
    <w:pPr>
      <w:shd w:val="clear" w:color="auto" w:fill="000080"/>
    </w:pPr>
    <w:rPr>
      <w:rFonts w:ascii="Tahoma" w:hAnsi="Tahoma"/>
    </w:rPr>
  </w:style>
  <w:style w:type="paragraph" w:styleId="lfej">
    <w:name w:val="header"/>
    <w:basedOn w:val="Norml"/>
    <w:link w:val="lfejChar"/>
    <w:uiPriority w:val="99"/>
    <w:pPr>
      <w:tabs>
        <w:tab w:val="center" w:pos="4320"/>
        <w:tab w:val="right" w:pos="8640"/>
      </w:tabs>
    </w:pPr>
  </w:style>
  <w:style w:type="paragraph" w:styleId="llb">
    <w:name w:val="footer"/>
    <w:basedOn w:val="Norml"/>
    <w:link w:val="llbChar"/>
    <w:pPr>
      <w:tabs>
        <w:tab w:val="center" w:pos="4320"/>
        <w:tab w:val="right" w:pos="8640"/>
      </w:tabs>
    </w:pPr>
  </w:style>
  <w:style w:type="character" w:styleId="Oldalszm">
    <w:name w:val="page number"/>
    <w:basedOn w:val="Bekezdsalapbettpusa"/>
    <w:rsid w:val="007F095B"/>
  </w:style>
  <w:style w:type="paragraph" w:styleId="Szvegtrzs3">
    <w:name w:val="Body Text 3"/>
    <w:basedOn w:val="Norm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Lbjegyzetszveg">
    <w:name w:val="footnote text"/>
    <w:aliases w:val="Fußnote,Fußnotentextf,Note de bas de page Car Car Car Car Car Car Car Car Car Car,Note de bas de page Car Car Car Car,Note de bas de page Car Car Car Car Car Car Car Car Car,ft,f"/>
    <w:basedOn w:val="Norml"/>
    <w:link w:val="LbjegyzetszvegChar"/>
    <w:uiPriority w:val="99"/>
    <w:rsid w:val="001951FE"/>
    <w:rPr>
      <w:sz w:val="20"/>
    </w:rPr>
  </w:style>
  <w:style w:type="character" w:styleId="Lbjegyzet-hivatkozs">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llbChar">
    <w:name w:val="Élőláb Char"/>
    <w:link w:val="llb"/>
    <w:rsid w:val="007727F3"/>
    <w:rPr>
      <w:snapToGrid w:val="0"/>
      <w:sz w:val="24"/>
      <w:lang w:val="en-US" w:eastAsia="en-US"/>
    </w:rPr>
  </w:style>
  <w:style w:type="paragraph" w:styleId="Buborkszveg">
    <w:name w:val="Balloon Text"/>
    <w:basedOn w:val="Norml"/>
    <w:link w:val="BuborkszvegChar"/>
    <w:rsid w:val="00D240C3"/>
    <w:pPr>
      <w:spacing w:before="0" w:after="0"/>
    </w:pPr>
    <w:rPr>
      <w:rFonts w:ascii="Tahoma" w:hAnsi="Tahoma" w:cs="Tahoma"/>
      <w:sz w:val="16"/>
      <w:szCs w:val="16"/>
    </w:rPr>
  </w:style>
  <w:style w:type="character" w:customStyle="1" w:styleId="BuborkszvegChar">
    <w:name w:val="Buborékszöveg Char"/>
    <w:link w:val="Buborkszveg"/>
    <w:rsid w:val="00D240C3"/>
    <w:rPr>
      <w:rFonts w:ascii="Tahoma" w:hAnsi="Tahoma" w:cs="Tahoma"/>
      <w:snapToGrid w:val="0"/>
      <w:sz w:val="16"/>
      <w:szCs w:val="16"/>
      <w:lang w:val="en-US" w:eastAsia="en-US"/>
    </w:rPr>
  </w:style>
  <w:style w:type="character" w:styleId="Jegyzethivatkozs">
    <w:name w:val="annotation reference"/>
    <w:rsid w:val="009B69BE"/>
    <w:rPr>
      <w:sz w:val="16"/>
      <w:szCs w:val="16"/>
    </w:rPr>
  </w:style>
  <w:style w:type="paragraph" w:styleId="Jegyzetszveg">
    <w:name w:val="annotation text"/>
    <w:basedOn w:val="Norml"/>
    <w:link w:val="JegyzetszvegChar"/>
    <w:rsid w:val="009B69BE"/>
    <w:rPr>
      <w:sz w:val="20"/>
    </w:rPr>
  </w:style>
  <w:style w:type="character" w:customStyle="1" w:styleId="JegyzetszvegChar">
    <w:name w:val="Jegyzetszöveg Char"/>
    <w:link w:val="Jegyzetszveg"/>
    <w:rsid w:val="009B69BE"/>
    <w:rPr>
      <w:snapToGrid w:val="0"/>
      <w:lang w:val="en-US" w:eastAsia="en-US"/>
    </w:rPr>
  </w:style>
  <w:style w:type="paragraph" w:styleId="Megjegyzstrgya">
    <w:name w:val="annotation subject"/>
    <w:basedOn w:val="Jegyzetszveg"/>
    <w:next w:val="Jegyzetszveg"/>
    <w:link w:val="MegjegyzstrgyaChar"/>
    <w:rsid w:val="009B69BE"/>
    <w:rPr>
      <w:b/>
      <w:bCs/>
    </w:rPr>
  </w:style>
  <w:style w:type="character" w:customStyle="1" w:styleId="MegjegyzstrgyaChar">
    <w:name w:val="Megjegyzés tárgya Char"/>
    <w:link w:val="Megjegyzstrgya"/>
    <w:rsid w:val="009B69BE"/>
    <w:rPr>
      <w:b/>
      <w:bCs/>
      <w:snapToGrid w:val="0"/>
      <w:lang w:val="en-US" w:eastAsia="en-US"/>
    </w:rPr>
  </w:style>
  <w:style w:type="paragraph" w:customStyle="1" w:styleId="PRAGHeading2">
    <w:name w:val="PRAG Heading 2"/>
    <w:basedOn w:val="Norml"/>
    <w:rsid w:val="00971962"/>
    <w:pPr>
      <w:numPr>
        <w:numId w:val="43"/>
      </w:numPr>
    </w:pPr>
  </w:style>
  <w:style w:type="paragraph" w:styleId="Alcm">
    <w:name w:val="Subtitle"/>
    <w:basedOn w:val="Norml"/>
    <w:link w:val="AlcmChar"/>
    <w:qFormat/>
    <w:rsid w:val="00A36F1C"/>
    <w:pPr>
      <w:widowControl/>
      <w:spacing w:before="0" w:after="0"/>
      <w:jc w:val="center"/>
    </w:pPr>
    <w:rPr>
      <w:b/>
      <w:snapToGrid/>
      <w:sz w:val="28"/>
      <w:lang w:val="fr-BE" w:eastAsia="en-GB"/>
    </w:rPr>
  </w:style>
  <w:style w:type="character" w:customStyle="1" w:styleId="AlcmChar">
    <w:name w:val="Alcím Char"/>
    <w:link w:val="Alcm"/>
    <w:rsid w:val="00A36F1C"/>
    <w:rPr>
      <w:b/>
      <w:sz w:val="28"/>
      <w:lang w:val="fr-BE"/>
    </w:rPr>
  </w:style>
  <w:style w:type="character" w:customStyle="1" w:styleId="LbjegyzetszvegChar">
    <w:name w:val="Lábjegyzetszöveg Char"/>
    <w:aliases w:val="Fußnote Char,Fußnotentextf Char,Note de bas de page Car Car Car Car Car Car Car Car Car Car Char,Note de bas de page Car Car Car Car Char,Note de bas de page Car Car Car Car Car Car Car Car Car Char,ft Char,f Char"/>
    <w:link w:val="Lbjegyzetszveg"/>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aszerbekezds">
    <w:name w:val="List Paragraph"/>
    <w:basedOn w:val="Norml"/>
    <w:uiPriority w:val="34"/>
    <w:qFormat/>
    <w:rsid w:val="00B9793F"/>
    <w:pPr>
      <w:ind w:left="720"/>
    </w:pPr>
  </w:style>
  <w:style w:type="paragraph" w:styleId="Vltozat">
    <w:name w:val="Revision"/>
    <w:hidden/>
    <w:uiPriority w:val="99"/>
    <w:semiHidden/>
    <w:rsid w:val="00D97139"/>
    <w:rPr>
      <w:snapToGrid w:val="0"/>
      <w:sz w:val="24"/>
    </w:rPr>
  </w:style>
  <w:style w:type="character" w:customStyle="1" w:styleId="Cmsor4Char">
    <w:name w:val="Címsor 4 Char"/>
    <w:link w:val="Cmsor4"/>
    <w:semiHidden/>
    <w:rsid w:val="009B5369"/>
    <w:rPr>
      <w:rFonts w:ascii="Calibri" w:eastAsia="Times New Roman" w:hAnsi="Calibri" w:cs="Times New Roman"/>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lang w:val="en-GB" w:eastAsia="en-GB"/>
    </w:rPr>
  </w:style>
  <w:style w:type="character" w:customStyle="1" w:styleId="lfejChar">
    <w:name w:val="Élőfej Char"/>
    <w:link w:val="lfej"/>
    <w:uiPriority w:val="99"/>
    <w:rsid w:val="008E2E1D"/>
    <w:rPr>
      <w:snapToGrid w:val="0"/>
      <w:sz w:val="24"/>
      <w:lang w:val="en-US" w:eastAsia="en-US"/>
    </w:rPr>
  </w:style>
  <w:style w:type="character" w:customStyle="1" w:styleId="rynqvb">
    <w:name w:val="rynqvb"/>
    <w:rsid w:val="0084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1B27-5A36-4381-B533-0D2D104D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1316</Words>
  <Characters>9084</Characters>
  <Application>Microsoft Office Word</Application>
  <DocSecurity>0</DocSecurity>
  <Lines>75</Lines>
  <Paragraphs>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10380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35</cp:revision>
  <cp:lastPrinted>2024-06-14T12:45:00Z</cp:lastPrinted>
  <dcterms:created xsi:type="dcterms:W3CDTF">2024-06-17T14:03:00Z</dcterms:created>
  <dcterms:modified xsi:type="dcterms:W3CDTF">2026-04-17T09:12:00Z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